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D9C" w:rsidRPr="00EE4D9C" w:rsidRDefault="00EE4D9C" w:rsidP="00EE4D9C">
      <w:pPr>
        <w:spacing w:after="240" w:line="240" w:lineRule="auto"/>
        <w:ind w:left="567"/>
        <w:jc w:val="center"/>
        <w:rPr>
          <w:rFonts w:ascii="Times New Roman" w:eastAsia="Times New Roman" w:hAnsi="Times New Roman" w:cs="Times New Roman"/>
          <w:color w:val="000000"/>
          <w:sz w:val="27"/>
          <w:szCs w:val="27"/>
          <w:lang w:eastAsia="it-IT"/>
        </w:rPr>
      </w:pPr>
      <w:r w:rsidRPr="00EE4D9C">
        <w:rPr>
          <w:rFonts w:ascii="Times New Roman" w:eastAsia="Times New Roman" w:hAnsi="Times New Roman" w:cs="Times New Roman"/>
          <w:color w:val="000000"/>
          <w:sz w:val="27"/>
          <w:szCs w:val="27"/>
          <w:lang w:eastAsia="it-IT"/>
        </w:rPr>
        <w:t>SENTENZA DELLA CORTE (Quinta Sezione)</w:t>
      </w:r>
    </w:p>
    <w:p w:rsidR="00EE4D9C" w:rsidRPr="00EE4D9C" w:rsidRDefault="00EE4D9C" w:rsidP="00EE4D9C">
      <w:pPr>
        <w:spacing w:after="240" w:line="240" w:lineRule="auto"/>
        <w:ind w:left="567"/>
        <w:jc w:val="center"/>
        <w:rPr>
          <w:rFonts w:ascii="Times New Roman" w:eastAsia="Times New Roman" w:hAnsi="Times New Roman" w:cs="Times New Roman"/>
          <w:color w:val="000000"/>
          <w:sz w:val="27"/>
          <w:szCs w:val="27"/>
          <w:lang w:eastAsia="it-IT"/>
        </w:rPr>
      </w:pPr>
      <w:r w:rsidRPr="00EE4D9C">
        <w:rPr>
          <w:rFonts w:ascii="Times New Roman" w:eastAsia="Times New Roman" w:hAnsi="Times New Roman" w:cs="Times New Roman"/>
          <w:color w:val="000000"/>
          <w:sz w:val="27"/>
          <w:szCs w:val="27"/>
          <w:lang w:eastAsia="it-IT"/>
        </w:rPr>
        <w:t>19 giugno 2014 (</w:t>
      </w:r>
      <w:bookmarkStart w:id="0" w:name="Footref*"/>
      <w:r w:rsidRPr="00EE4D9C">
        <w:rPr>
          <w:rFonts w:ascii="Times New Roman" w:eastAsia="Times New Roman" w:hAnsi="Times New Roman" w:cs="Times New Roman"/>
          <w:color w:val="000000"/>
          <w:sz w:val="27"/>
          <w:szCs w:val="27"/>
          <w:lang w:eastAsia="it-IT"/>
        </w:rPr>
        <w:fldChar w:fldCharType="begin"/>
      </w:r>
      <w:r w:rsidRPr="00EE4D9C">
        <w:rPr>
          <w:rFonts w:ascii="Times New Roman" w:eastAsia="Times New Roman" w:hAnsi="Times New Roman" w:cs="Times New Roman"/>
          <w:color w:val="000000"/>
          <w:sz w:val="27"/>
          <w:szCs w:val="27"/>
          <w:lang w:eastAsia="it-IT"/>
        </w:rPr>
        <w:instrText xml:space="preserve"> HYPERLINK "http://curia.europa.eu/juris/document/document_print.jsf?docid=153811&amp;text=&amp;dir=&amp;doclang=IT&amp;part=1&amp;occ=first&amp;mode=lst&amp;pageIndex=0&amp;cid=87540" \l "Footnote*" </w:instrText>
      </w:r>
      <w:r w:rsidRPr="00EE4D9C">
        <w:rPr>
          <w:rFonts w:ascii="Times New Roman" w:eastAsia="Times New Roman" w:hAnsi="Times New Roman" w:cs="Times New Roman"/>
          <w:color w:val="000000"/>
          <w:sz w:val="27"/>
          <w:szCs w:val="27"/>
          <w:lang w:eastAsia="it-IT"/>
        </w:rPr>
        <w:fldChar w:fldCharType="separate"/>
      </w:r>
      <w:r w:rsidRPr="00EE4D9C">
        <w:rPr>
          <w:rFonts w:ascii="Times New Roman" w:eastAsia="Times New Roman" w:hAnsi="Times New Roman" w:cs="Times New Roman"/>
          <w:color w:val="0000FF"/>
          <w:sz w:val="27"/>
          <w:szCs w:val="27"/>
          <w:u w:val="single"/>
          <w:lang w:eastAsia="it-IT"/>
        </w:rPr>
        <w:t>*</w:t>
      </w:r>
      <w:r w:rsidRPr="00EE4D9C">
        <w:rPr>
          <w:rFonts w:ascii="Times New Roman" w:eastAsia="Times New Roman" w:hAnsi="Times New Roman" w:cs="Times New Roman"/>
          <w:color w:val="000000"/>
          <w:sz w:val="27"/>
          <w:szCs w:val="27"/>
          <w:lang w:eastAsia="it-IT"/>
        </w:rPr>
        <w:fldChar w:fldCharType="end"/>
      </w:r>
      <w:bookmarkEnd w:id="0"/>
      <w:r w:rsidRPr="00EE4D9C">
        <w:rPr>
          <w:rFonts w:ascii="Times New Roman" w:eastAsia="Times New Roman" w:hAnsi="Times New Roman" w:cs="Times New Roman"/>
          <w:color w:val="000000"/>
          <w:sz w:val="27"/>
          <w:szCs w:val="27"/>
          <w:lang w:eastAsia="it-IT"/>
        </w:rPr>
        <w:t>)</w:t>
      </w:r>
    </w:p>
    <w:p w:rsidR="00EE4D9C" w:rsidRPr="00EE4D9C" w:rsidRDefault="00EE4D9C" w:rsidP="00EE4D9C">
      <w:pPr>
        <w:spacing w:before="600" w:after="560" w:line="240" w:lineRule="auto"/>
        <w:ind w:left="567"/>
        <w:jc w:val="center"/>
        <w:rPr>
          <w:rFonts w:ascii="Times New Roman" w:eastAsia="Times New Roman" w:hAnsi="Times New Roman" w:cs="Times New Roman"/>
          <w:color w:val="000000"/>
          <w:sz w:val="27"/>
          <w:szCs w:val="27"/>
          <w:lang w:eastAsia="it-IT"/>
        </w:rPr>
      </w:pPr>
      <w:r w:rsidRPr="00EE4D9C">
        <w:rPr>
          <w:rFonts w:ascii="Times New Roman" w:eastAsia="Times New Roman" w:hAnsi="Times New Roman" w:cs="Times New Roman"/>
          <w:color w:val="000000"/>
          <w:sz w:val="27"/>
          <w:szCs w:val="27"/>
          <w:lang w:eastAsia="it-IT"/>
        </w:rPr>
        <w:t xml:space="preserve">«Rinvio pregiudiziale – Appalti pubblici di servizi – Direttiva 2004/18/CE –Affidamento dell’appalto senza procedura di gara (affidamento cosiddetto “in </w:t>
      </w:r>
      <w:proofErr w:type="spellStart"/>
      <w:r w:rsidRPr="00EE4D9C">
        <w:rPr>
          <w:rFonts w:ascii="Times New Roman" w:eastAsia="Times New Roman" w:hAnsi="Times New Roman" w:cs="Times New Roman"/>
          <w:color w:val="000000"/>
          <w:sz w:val="27"/>
          <w:szCs w:val="27"/>
          <w:lang w:eastAsia="it-IT"/>
        </w:rPr>
        <w:t>house</w:t>
      </w:r>
      <w:proofErr w:type="spellEnd"/>
      <w:r w:rsidRPr="00EE4D9C">
        <w:rPr>
          <w:rFonts w:ascii="Times New Roman" w:eastAsia="Times New Roman" w:hAnsi="Times New Roman" w:cs="Times New Roman"/>
          <w:color w:val="000000"/>
          <w:sz w:val="27"/>
          <w:szCs w:val="27"/>
          <w:lang w:eastAsia="it-IT"/>
        </w:rPr>
        <w:t>”) – Soggetto aggiudicatario giuridicamente distinto dall’amministrazione aggiudicatrice – Centro di prestazioni di servizi di assistenza e di sostegno ospedaliero – Associazione di pubblica utilità e senza scopo di lucro – Maggioranza dei membri costituita da amministrazioni aggiudicatrici – Minoranza dei membri costituita da enti di diritto privato, associazioni caritative senza scopo di lucro – Attività svolta almeno per l’80% del fatturato annuale a favore dei membri»</w:t>
      </w:r>
    </w:p>
    <w:p w:rsidR="00EE4D9C" w:rsidRPr="00EE4D9C" w:rsidRDefault="00EE4D9C" w:rsidP="00EE4D9C">
      <w:pPr>
        <w:spacing w:after="240" w:line="240" w:lineRule="auto"/>
        <w:ind w:left="567"/>
        <w:jc w:val="both"/>
        <w:rPr>
          <w:rFonts w:ascii="Times New Roman" w:eastAsia="Times New Roman" w:hAnsi="Times New Roman" w:cs="Times New Roman"/>
          <w:color w:val="000000"/>
          <w:sz w:val="27"/>
          <w:szCs w:val="27"/>
          <w:lang w:eastAsia="it-IT"/>
        </w:rPr>
      </w:pPr>
      <w:r w:rsidRPr="00EE4D9C">
        <w:rPr>
          <w:rFonts w:ascii="Times New Roman" w:eastAsia="Times New Roman" w:hAnsi="Times New Roman" w:cs="Times New Roman"/>
          <w:color w:val="000000"/>
          <w:sz w:val="27"/>
          <w:szCs w:val="27"/>
          <w:lang w:eastAsia="it-IT"/>
        </w:rPr>
        <w:t>Nella causa C</w:t>
      </w:r>
      <w:r w:rsidRPr="00EE4D9C">
        <w:rPr>
          <w:rFonts w:ascii="Times New Roman" w:eastAsia="Times New Roman" w:hAnsi="Times New Roman" w:cs="Times New Roman"/>
          <w:color w:val="000000"/>
          <w:sz w:val="27"/>
          <w:szCs w:val="27"/>
          <w:lang w:eastAsia="it-IT"/>
        </w:rPr>
        <w:noBreakHyphen/>
        <w:t>574/12,</w:t>
      </w:r>
    </w:p>
    <w:p w:rsidR="00EE4D9C" w:rsidRPr="00EE4D9C" w:rsidRDefault="00EE4D9C" w:rsidP="00EE4D9C">
      <w:pPr>
        <w:spacing w:after="240" w:line="240" w:lineRule="auto"/>
        <w:ind w:left="567"/>
        <w:jc w:val="both"/>
        <w:rPr>
          <w:rFonts w:ascii="Times New Roman" w:eastAsia="Times New Roman" w:hAnsi="Times New Roman" w:cs="Times New Roman"/>
          <w:color w:val="000000"/>
          <w:sz w:val="27"/>
          <w:szCs w:val="27"/>
          <w:lang w:eastAsia="it-IT"/>
        </w:rPr>
      </w:pPr>
      <w:r w:rsidRPr="00EE4D9C">
        <w:rPr>
          <w:rFonts w:ascii="Times New Roman" w:eastAsia="Times New Roman" w:hAnsi="Times New Roman" w:cs="Times New Roman"/>
          <w:color w:val="000000"/>
          <w:sz w:val="27"/>
          <w:szCs w:val="27"/>
          <w:lang w:eastAsia="it-IT"/>
        </w:rPr>
        <w:t xml:space="preserve">avente ad oggetto la domanda di pronuncia pregiudiziale proposta alla Corte, ai sensi dell’articolo 267 TFUE, dal Supremo </w:t>
      </w:r>
      <w:proofErr w:type="spellStart"/>
      <w:r w:rsidRPr="00EE4D9C">
        <w:rPr>
          <w:rFonts w:ascii="Times New Roman" w:eastAsia="Times New Roman" w:hAnsi="Times New Roman" w:cs="Times New Roman"/>
          <w:color w:val="000000"/>
          <w:sz w:val="27"/>
          <w:szCs w:val="27"/>
          <w:lang w:eastAsia="it-IT"/>
        </w:rPr>
        <w:t>Tribunal</w:t>
      </w:r>
      <w:proofErr w:type="spellEnd"/>
      <w:r w:rsidRPr="00EE4D9C">
        <w:rPr>
          <w:rFonts w:ascii="Times New Roman" w:eastAsia="Times New Roman" w:hAnsi="Times New Roman" w:cs="Times New Roman"/>
          <w:color w:val="000000"/>
          <w:sz w:val="27"/>
          <w:szCs w:val="27"/>
          <w:lang w:eastAsia="it-IT"/>
        </w:rPr>
        <w:t xml:space="preserve"> </w:t>
      </w:r>
      <w:proofErr w:type="spellStart"/>
      <w:r w:rsidRPr="00EE4D9C">
        <w:rPr>
          <w:rFonts w:ascii="Times New Roman" w:eastAsia="Times New Roman" w:hAnsi="Times New Roman" w:cs="Times New Roman"/>
          <w:color w:val="000000"/>
          <w:sz w:val="27"/>
          <w:szCs w:val="27"/>
          <w:lang w:eastAsia="it-IT"/>
        </w:rPr>
        <w:t>Administrativo</w:t>
      </w:r>
      <w:proofErr w:type="spellEnd"/>
      <w:r w:rsidRPr="00EE4D9C">
        <w:rPr>
          <w:rFonts w:ascii="Times New Roman" w:eastAsia="Times New Roman" w:hAnsi="Times New Roman" w:cs="Times New Roman"/>
          <w:color w:val="000000"/>
          <w:sz w:val="27"/>
          <w:szCs w:val="27"/>
          <w:lang w:eastAsia="it-IT"/>
        </w:rPr>
        <w:t xml:space="preserve"> (Portogallo), con decisione del 6 novembre 2012, pervenuta in cancelleria il 7 dicembre 2012, nel procedimento</w:t>
      </w:r>
    </w:p>
    <w:p w:rsidR="00EE4D9C" w:rsidRPr="00EE4D9C" w:rsidRDefault="00EE4D9C" w:rsidP="00EE4D9C">
      <w:pPr>
        <w:spacing w:after="240" w:line="240" w:lineRule="auto"/>
        <w:ind w:left="567"/>
        <w:jc w:val="both"/>
        <w:rPr>
          <w:rFonts w:ascii="Times New Roman" w:eastAsia="Times New Roman" w:hAnsi="Times New Roman" w:cs="Times New Roman"/>
          <w:color w:val="000000"/>
          <w:sz w:val="27"/>
          <w:szCs w:val="27"/>
          <w:lang w:eastAsia="it-IT"/>
        </w:rPr>
      </w:pPr>
      <w:r w:rsidRPr="00EE4D9C">
        <w:rPr>
          <w:rFonts w:ascii="Times New Roman" w:eastAsia="Times New Roman" w:hAnsi="Times New Roman" w:cs="Times New Roman"/>
          <w:b/>
          <w:bCs/>
          <w:color w:val="000000"/>
          <w:sz w:val="27"/>
          <w:szCs w:val="27"/>
          <w:lang w:eastAsia="it-IT"/>
        </w:rPr>
        <w:t xml:space="preserve">Centro </w:t>
      </w:r>
      <w:proofErr w:type="spellStart"/>
      <w:r w:rsidRPr="00EE4D9C">
        <w:rPr>
          <w:rFonts w:ascii="Times New Roman" w:eastAsia="Times New Roman" w:hAnsi="Times New Roman" w:cs="Times New Roman"/>
          <w:b/>
          <w:bCs/>
          <w:color w:val="000000"/>
          <w:sz w:val="27"/>
          <w:szCs w:val="27"/>
          <w:lang w:eastAsia="it-IT"/>
        </w:rPr>
        <w:t>Hospitalar</w:t>
      </w:r>
      <w:proofErr w:type="spellEnd"/>
      <w:r w:rsidRPr="00EE4D9C">
        <w:rPr>
          <w:rFonts w:ascii="Times New Roman" w:eastAsia="Times New Roman" w:hAnsi="Times New Roman" w:cs="Times New Roman"/>
          <w:b/>
          <w:bCs/>
          <w:color w:val="000000"/>
          <w:sz w:val="27"/>
          <w:szCs w:val="27"/>
          <w:lang w:eastAsia="it-IT"/>
        </w:rPr>
        <w:t xml:space="preserve"> de Setúbal EPE,</w:t>
      </w:r>
    </w:p>
    <w:p w:rsidR="00EE4D9C" w:rsidRPr="00EE4D9C" w:rsidRDefault="00EE4D9C" w:rsidP="00EE4D9C">
      <w:pPr>
        <w:spacing w:after="240" w:line="240" w:lineRule="auto"/>
        <w:ind w:left="567"/>
        <w:jc w:val="both"/>
        <w:rPr>
          <w:rFonts w:ascii="Times New Roman" w:eastAsia="Times New Roman" w:hAnsi="Times New Roman" w:cs="Times New Roman"/>
          <w:color w:val="000000"/>
          <w:sz w:val="27"/>
          <w:szCs w:val="27"/>
          <w:lang w:eastAsia="it-IT"/>
        </w:rPr>
      </w:pPr>
      <w:proofErr w:type="spellStart"/>
      <w:r w:rsidRPr="00EE4D9C">
        <w:rPr>
          <w:rFonts w:ascii="Times New Roman" w:eastAsia="Times New Roman" w:hAnsi="Times New Roman" w:cs="Times New Roman"/>
          <w:b/>
          <w:bCs/>
          <w:color w:val="000000"/>
          <w:sz w:val="27"/>
          <w:szCs w:val="27"/>
          <w:lang w:eastAsia="it-IT"/>
        </w:rPr>
        <w:t>Serviço</w:t>
      </w:r>
      <w:proofErr w:type="spellEnd"/>
      <w:r w:rsidRPr="00EE4D9C">
        <w:rPr>
          <w:rFonts w:ascii="Times New Roman" w:eastAsia="Times New Roman" w:hAnsi="Times New Roman" w:cs="Times New Roman"/>
          <w:b/>
          <w:bCs/>
          <w:color w:val="000000"/>
          <w:sz w:val="27"/>
          <w:szCs w:val="27"/>
          <w:lang w:eastAsia="it-IT"/>
        </w:rPr>
        <w:t xml:space="preserve"> de </w:t>
      </w:r>
      <w:proofErr w:type="spellStart"/>
      <w:r w:rsidRPr="00EE4D9C">
        <w:rPr>
          <w:rFonts w:ascii="Times New Roman" w:eastAsia="Times New Roman" w:hAnsi="Times New Roman" w:cs="Times New Roman"/>
          <w:b/>
          <w:bCs/>
          <w:color w:val="000000"/>
          <w:sz w:val="27"/>
          <w:szCs w:val="27"/>
          <w:lang w:eastAsia="it-IT"/>
        </w:rPr>
        <w:t>Utilização</w:t>
      </w:r>
      <w:proofErr w:type="spellEnd"/>
      <w:r w:rsidRPr="00EE4D9C">
        <w:rPr>
          <w:rFonts w:ascii="Times New Roman" w:eastAsia="Times New Roman" w:hAnsi="Times New Roman" w:cs="Times New Roman"/>
          <w:b/>
          <w:bCs/>
          <w:color w:val="000000"/>
          <w:sz w:val="27"/>
          <w:szCs w:val="27"/>
          <w:lang w:eastAsia="it-IT"/>
        </w:rPr>
        <w:t xml:space="preserve"> </w:t>
      </w:r>
      <w:proofErr w:type="spellStart"/>
      <w:r w:rsidRPr="00EE4D9C">
        <w:rPr>
          <w:rFonts w:ascii="Times New Roman" w:eastAsia="Times New Roman" w:hAnsi="Times New Roman" w:cs="Times New Roman"/>
          <w:b/>
          <w:bCs/>
          <w:color w:val="000000"/>
          <w:sz w:val="27"/>
          <w:szCs w:val="27"/>
          <w:lang w:eastAsia="it-IT"/>
        </w:rPr>
        <w:t>Comum</w:t>
      </w:r>
      <w:proofErr w:type="spellEnd"/>
      <w:r w:rsidRPr="00EE4D9C">
        <w:rPr>
          <w:rFonts w:ascii="Times New Roman" w:eastAsia="Times New Roman" w:hAnsi="Times New Roman" w:cs="Times New Roman"/>
          <w:b/>
          <w:bCs/>
          <w:color w:val="000000"/>
          <w:sz w:val="27"/>
          <w:szCs w:val="27"/>
          <w:lang w:eastAsia="it-IT"/>
        </w:rPr>
        <w:t xml:space="preserve"> </w:t>
      </w:r>
      <w:proofErr w:type="spellStart"/>
      <w:r w:rsidRPr="00EE4D9C">
        <w:rPr>
          <w:rFonts w:ascii="Times New Roman" w:eastAsia="Times New Roman" w:hAnsi="Times New Roman" w:cs="Times New Roman"/>
          <w:b/>
          <w:bCs/>
          <w:color w:val="000000"/>
          <w:sz w:val="27"/>
          <w:szCs w:val="27"/>
          <w:lang w:eastAsia="it-IT"/>
        </w:rPr>
        <w:t>dos</w:t>
      </w:r>
      <w:proofErr w:type="spellEnd"/>
      <w:r w:rsidRPr="00EE4D9C">
        <w:rPr>
          <w:rFonts w:ascii="Times New Roman" w:eastAsia="Times New Roman" w:hAnsi="Times New Roman" w:cs="Times New Roman"/>
          <w:b/>
          <w:bCs/>
          <w:color w:val="000000"/>
          <w:sz w:val="27"/>
          <w:szCs w:val="27"/>
          <w:lang w:eastAsia="it-IT"/>
        </w:rPr>
        <w:t xml:space="preserve"> </w:t>
      </w:r>
      <w:proofErr w:type="spellStart"/>
      <w:r w:rsidRPr="00EE4D9C">
        <w:rPr>
          <w:rFonts w:ascii="Times New Roman" w:eastAsia="Times New Roman" w:hAnsi="Times New Roman" w:cs="Times New Roman"/>
          <w:b/>
          <w:bCs/>
          <w:color w:val="000000"/>
          <w:sz w:val="27"/>
          <w:szCs w:val="27"/>
          <w:lang w:eastAsia="it-IT"/>
        </w:rPr>
        <w:t>Hospitais</w:t>
      </w:r>
      <w:proofErr w:type="spellEnd"/>
      <w:r w:rsidRPr="00EE4D9C">
        <w:rPr>
          <w:rFonts w:ascii="Times New Roman" w:eastAsia="Times New Roman" w:hAnsi="Times New Roman" w:cs="Times New Roman"/>
          <w:b/>
          <w:bCs/>
          <w:color w:val="000000"/>
          <w:sz w:val="27"/>
          <w:szCs w:val="27"/>
          <w:lang w:eastAsia="it-IT"/>
        </w:rPr>
        <w:t xml:space="preserve"> (SUCH)</w:t>
      </w:r>
    </w:p>
    <w:p w:rsidR="00EE4D9C" w:rsidRPr="00EE4D9C" w:rsidRDefault="00EE4D9C" w:rsidP="00EE4D9C">
      <w:pPr>
        <w:spacing w:after="240" w:line="240" w:lineRule="auto"/>
        <w:ind w:left="567"/>
        <w:jc w:val="both"/>
        <w:rPr>
          <w:rFonts w:ascii="Times New Roman" w:eastAsia="Times New Roman" w:hAnsi="Times New Roman" w:cs="Times New Roman"/>
          <w:color w:val="000000"/>
          <w:sz w:val="27"/>
          <w:szCs w:val="27"/>
          <w:lang w:eastAsia="it-IT"/>
        </w:rPr>
      </w:pPr>
      <w:r w:rsidRPr="00EE4D9C">
        <w:rPr>
          <w:rFonts w:ascii="Times New Roman" w:eastAsia="Times New Roman" w:hAnsi="Times New Roman" w:cs="Times New Roman"/>
          <w:color w:val="000000"/>
          <w:sz w:val="27"/>
          <w:szCs w:val="27"/>
          <w:lang w:eastAsia="it-IT"/>
        </w:rPr>
        <w:t>contro</w:t>
      </w:r>
    </w:p>
    <w:p w:rsidR="00EE4D9C" w:rsidRPr="00EE4D9C" w:rsidRDefault="00EE4D9C" w:rsidP="00EE4D9C">
      <w:pPr>
        <w:spacing w:after="240" w:line="240" w:lineRule="auto"/>
        <w:ind w:left="567"/>
        <w:jc w:val="both"/>
        <w:rPr>
          <w:rFonts w:ascii="Times New Roman" w:eastAsia="Times New Roman" w:hAnsi="Times New Roman" w:cs="Times New Roman"/>
          <w:color w:val="000000"/>
          <w:sz w:val="27"/>
          <w:szCs w:val="27"/>
          <w:lang w:eastAsia="it-IT"/>
        </w:rPr>
      </w:pPr>
      <w:proofErr w:type="spellStart"/>
      <w:r w:rsidRPr="00EE4D9C">
        <w:rPr>
          <w:rFonts w:ascii="Times New Roman" w:eastAsia="Times New Roman" w:hAnsi="Times New Roman" w:cs="Times New Roman"/>
          <w:b/>
          <w:bCs/>
          <w:color w:val="000000"/>
          <w:sz w:val="27"/>
          <w:szCs w:val="27"/>
          <w:lang w:eastAsia="it-IT"/>
        </w:rPr>
        <w:t>Eurest</w:t>
      </w:r>
      <w:proofErr w:type="spellEnd"/>
      <w:r w:rsidRPr="00EE4D9C">
        <w:rPr>
          <w:rFonts w:ascii="Times New Roman" w:eastAsia="Times New Roman" w:hAnsi="Times New Roman" w:cs="Times New Roman"/>
          <w:b/>
          <w:bCs/>
          <w:color w:val="000000"/>
          <w:sz w:val="27"/>
          <w:szCs w:val="27"/>
          <w:lang w:eastAsia="it-IT"/>
        </w:rPr>
        <w:t xml:space="preserve"> (Portugal) – </w:t>
      </w:r>
      <w:proofErr w:type="spellStart"/>
      <w:r w:rsidRPr="00EE4D9C">
        <w:rPr>
          <w:rFonts w:ascii="Times New Roman" w:eastAsia="Times New Roman" w:hAnsi="Times New Roman" w:cs="Times New Roman"/>
          <w:b/>
          <w:bCs/>
          <w:color w:val="000000"/>
          <w:sz w:val="27"/>
          <w:szCs w:val="27"/>
          <w:lang w:eastAsia="it-IT"/>
        </w:rPr>
        <w:t>Sociedade</w:t>
      </w:r>
      <w:proofErr w:type="spellEnd"/>
      <w:r w:rsidRPr="00EE4D9C">
        <w:rPr>
          <w:rFonts w:ascii="Times New Roman" w:eastAsia="Times New Roman" w:hAnsi="Times New Roman" w:cs="Times New Roman"/>
          <w:b/>
          <w:bCs/>
          <w:color w:val="000000"/>
          <w:sz w:val="27"/>
          <w:szCs w:val="27"/>
          <w:lang w:eastAsia="it-IT"/>
        </w:rPr>
        <w:t xml:space="preserve"> </w:t>
      </w:r>
      <w:proofErr w:type="spellStart"/>
      <w:r w:rsidRPr="00EE4D9C">
        <w:rPr>
          <w:rFonts w:ascii="Times New Roman" w:eastAsia="Times New Roman" w:hAnsi="Times New Roman" w:cs="Times New Roman"/>
          <w:b/>
          <w:bCs/>
          <w:color w:val="000000"/>
          <w:sz w:val="27"/>
          <w:szCs w:val="27"/>
          <w:lang w:eastAsia="it-IT"/>
        </w:rPr>
        <w:t>Europeia</w:t>
      </w:r>
      <w:proofErr w:type="spellEnd"/>
      <w:r w:rsidRPr="00EE4D9C">
        <w:rPr>
          <w:rFonts w:ascii="Times New Roman" w:eastAsia="Times New Roman" w:hAnsi="Times New Roman" w:cs="Times New Roman"/>
          <w:b/>
          <w:bCs/>
          <w:color w:val="000000"/>
          <w:sz w:val="27"/>
          <w:szCs w:val="27"/>
          <w:lang w:eastAsia="it-IT"/>
        </w:rPr>
        <w:t xml:space="preserve"> de </w:t>
      </w:r>
      <w:proofErr w:type="spellStart"/>
      <w:r w:rsidRPr="00EE4D9C">
        <w:rPr>
          <w:rFonts w:ascii="Times New Roman" w:eastAsia="Times New Roman" w:hAnsi="Times New Roman" w:cs="Times New Roman"/>
          <w:b/>
          <w:bCs/>
          <w:color w:val="000000"/>
          <w:sz w:val="27"/>
          <w:szCs w:val="27"/>
          <w:lang w:eastAsia="it-IT"/>
        </w:rPr>
        <w:t>Restaurantes</w:t>
      </w:r>
      <w:proofErr w:type="spellEnd"/>
      <w:r w:rsidRPr="00EE4D9C">
        <w:rPr>
          <w:rFonts w:ascii="Times New Roman" w:eastAsia="Times New Roman" w:hAnsi="Times New Roman" w:cs="Times New Roman"/>
          <w:b/>
          <w:bCs/>
          <w:color w:val="000000"/>
          <w:sz w:val="27"/>
          <w:szCs w:val="27"/>
          <w:lang w:eastAsia="it-IT"/>
        </w:rPr>
        <w:t xml:space="preserve"> </w:t>
      </w:r>
      <w:proofErr w:type="spellStart"/>
      <w:r w:rsidRPr="00EE4D9C">
        <w:rPr>
          <w:rFonts w:ascii="Times New Roman" w:eastAsia="Times New Roman" w:hAnsi="Times New Roman" w:cs="Times New Roman"/>
          <w:b/>
          <w:bCs/>
          <w:color w:val="000000"/>
          <w:sz w:val="27"/>
          <w:szCs w:val="27"/>
          <w:lang w:eastAsia="it-IT"/>
        </w:rPr>
        <w:t>Lda</w:t>
      </w:r>
      <w:proofErr w:type="spellEnd"/>
      <w:r w:rsidRPr="00EE4D9C">
        <w:rPr>
          <w:rFonts w:ascii="Times New Roman" w:eastAsia="Times New Roman" w:hAnsi="Times New Roman" w:cs="Times New Roman"/>
          <w:b/>
          <w:bCs/>
          <w:color w:val="000000"/>
          <w:sz w:val="27"/>
          <w:szCs w:val="27"/>
          <w:lang w:eastAsia="it-IT"/>
        </w:rPr>
        <w:t>,</w:t>
      </w:r>
    </w:p>
    <w:p w:rsidR="00EE4D9C" w:rsidRPr="00EE4D9C" w:rsidRDefault="00EE4D9C" w:rsidP="00EE4D9C">
      <w:pPr>
        <w:spacing w:after="240" w:line="240" w:lineRule="auto"/>
        <w:ind w:left="567"/>
        <w:jc w:val="center"/>
        <w:rPr>
          <w:rFonts w:ascii="Times New Roman" w:eastAsia="Times New Roman" w:hAnsi="Times New Roman" w:cs="Times New Roman"/>
          <w:color w:val="000000"/>
          <w:sz w:val="27"/>
          <w:szCs w:val="27"/>
          <w:lang w:eastAsia="it-IT"/>
        </w:rPr>
      </w:pPr>
      <w:r w:rsidRPr="00EE4D9C">
        <w:rPr>
          <w:rFonts w:ascii="Times New Roman" w:eastAsia="Times New Roman" w:hAnsi="Times New Roman" w:cs="Times New Roman"/>
          <w:color w:val="000000"/>
          <w:sz w:val="27"/>
          <w:szCs w:val="27"/>
          <w:lang w:eastAsia="it-IT"/>
        </w:rPr>
        <w:t>LA CORTE (Quinta Sezione),</w:t>
      </w:r>
    </w:p>
    <w:p w:rsidR="00EE4D9C" w:rsidRPr="00EE4D9C" w:rsidRDefault="00EE4D9C" w:rsidP="00EE4D9C">
      <w:pPr>
        <w:spacing w:after="240" w:line="240" w:lineRule="auto"/>
        <w:ind w:left="567"/>
        <w:jc w:val="both"/>
        <w:rPr>
          <w:rFonts w:ascii="Times New Roman" w:eastAsia="Times New Roman" w:hAnsi="Times New Roman" w:cs="Times New Roman"/>
          <w:color w:val="000000"/>
          <w:sz w:val="27"/>
          <w:szCs w:val="27"/>
          <w:lang w:eastAsia="it-IT"/>
        </w:rPr>
      </w:pPr>
      <w:r w:rsidRPr="00EE4D9C">
        <w:rPr>
          <w:rFonts w:ascii="Times New Roman" w:eastAsia="Times New Roman" w:hAnsi="Times New Roman" w:cs="Times New Roman"/>
          <w:color w:val="000000"/>
          <w:sz w:val="27"/>
          <w:szCs w:val="27"/>
          <w:lang w:eastAsia="it-IT"/>
        </w:rPr>
        <w:t xml:space="preserve">composta da T. von </w:t>
      </w:r>
      <w:proofErr w:type="spellStart"/>
      <w:r w:rsidRPr="00EE4D9C">
        <w:rPr>
          <w:rFonts w:ascii="Times New Roman" w:eastAsia="Times New Roman" w:hAnsi="Times New Roman" w:cs="Times New Roman"/>
          <w:color w:val="000000"/>
          <w:sz w:val="27"/>
          <w:szCs w:val="27"/>
          <w:lang w:eastAsia="it-IT"/>
        </w:rPr>
        <w:t>Danwitz</w:t>
      </w:r>
      <w:proofErr w:type="spellEnd"/>
      <w:r w:rsidRPr="00EE4D9C">
        <w:rPr>
          <w:rFonts w:ascii="Times New Roman" w:eastAsia="Times New Roman" w:hAnsi="Times New Roman" w:cs="Times New Roman"/>
          <w:color w:val="000000"/>
          <w:sz w:val="27"/>
          <w:szCs w:val="27"/>
          <w:lang w:eastAsia="it-IT"/>
        </w:rPr>
        <w:t>, presidente di sezione, E. </w:t>
      </w:r>
      <w:proofErr w:type="spellStart"/>
      <w:r w:rsidRPr="00EE4D9C">
        <w:rPr>
          <w:rFonts w:ascii="Times New Roman" w:eastAsia="Times New Roman" w:hAnsi="Times New Roman" w:cs="Times New Roman"/>
          <w:color w:val="000000"/>
          <w:sz w:val="27"/>
          <w:szCs w:val="27"/>
          <w:lang w:eastAsia="it-IT"/>
        </w:rPr>
        <w:t>Juhász</w:t>
      </w:r>
      <w:proofErr w:type="spellEnd"/>
      <w:r w:rsidRPr="00EE4D9C">
        <w:rPr>
          <w:rFonts w:ascii="Times New Roman" w:eastAsia="Times New Roman" w:hAnsi="Times New Roman" w:cs="Times New Roman"/>
          <w:color w:val="000000"/>
          <w:sz w:val="27"/>
          <w:szCs w:val="27"/>
          <w:lang w:eastAsia="it-IT"/>
        </w:rPr>
        <w:t xml:space="preserve"> (relatore), A. </w:t>
      </w:r>
      <w:proofErr w:type="spellStart"/>
      <w:r w:rsidRPr="00EE4D9C">
        <w:rPr>
          <w:rFonts w:ascii="Times New Roman" w:eastAsia="Times New Roman" w:hAnsi="Times New Roman" w:cs="Times New Roman"/>
          <w:color w:val="000000"/>
          <w:sz w:val="27"/>
          <w:szCs w:val="27"/>
          <w:lang w:eastAsia="it-IT"/>
        </w:rPr>
        <w:t>Rosas</w:t>
      </w:r>
      <w:proofErr w:type="spellEnd"/>
      <w:r w:rsidRPr="00EE4D9C">
        <w:rPr>
          <w:rFonts w:ascii="Times New Roman" w:eastAsia="Times New Roman" w:hAnsi="Times New Roman" w:cs="Times New Roman"/>
          <w:color w:val="000000"/>
          <w:sz w:val="27"/>
          <w:szCs w:val="27"/>
          <w:lang w:eastAsia="it-IT"/>
        </w:rPr>
        <w:t>, D. </w:t>
      </w:r>
      <w:proofErr w:type="spellStart"/>
      <w:r w:rsidRPr="00EE4D9C">
        <w:rPr>
          <w:rFonts w:ascii="Times New Roman" w:eastAsia="Times New Roman" w:hAnsi="Times New Roman" w:cs="Times New Roman"/>
          <w:color w:val="000000"/>
          <w:sz w:val="27"/>
          <w:szCs w:val="27"/>
          <w:lang w:eastAsia="it-IT"/>
        </w:rPr>
        <w:t>Šváby</w:t>
      </w:r>
      <w:proofErr w:type="spellEnd"/>
      <w:r w:rsidRPr="00EE4D9C">
        <w:rPr>
          <w:rFonts w:ascii="Times New Roman" w:eastAsia="Times New Roman" w:hAnsi="Times New Roman" w:cs="Times New Roman"/>
          <w:color w:val="000000"/>
          <w:sz w:val="27"/>
          <w:szCs w:val="27"/>
          <w:lang w:eastAsia="it-IT"/>
        </w:rPr>
        <w:t xml:space="preserve"> e C. </w:t>
      </w:r>
      <w:proofErr w:type="spellStart"/>
      <w:r w:rsidRPr="00EE4D9C">
        <w:rPr>
          <w:rFonts w:ascii="Times New Roman" w:eastAsia="Times New Roman" w:hAnsi="Times New Roman" w:cs="Times New Roman"/>
          <w:color w:val="000000"/>
          <w:sz w:val="27"/>
          <w:szCs w:val="27"/>
          <w:lang w:eastAsia="it-IT"/>
        </w:rPr>
        <w:t>Vajda</w:t>
      </w:r>
      <w:proofErr w:type="spellEnd"/>
      <w:r w:rsidRPr="00EE4D9C">
        <w:rPr>
          <w:rFonts w:ascii="Times New Roman" w:eastAsia="Times New Roman" w:hAnsi="Times New Roman" w:cs="Times New Roman"/>
          <w:color w:val="000000"/>
          <w:sz w:val="27"/>
          <w:szCs w:val="27"/>
          <w:lang w:eastAsia="it-IT"/>
        </w:rPr>
        <w:t>, giudici,</w:t>
      </w:r>
    </w:p>
    <w:p w:rsidR="00EE4D9C" w:rsidRPr="00EE4D9C" w:rsidRDefault="00EE4D9C" w:rsidP="00EE4D9C">
      <w:pPr>
        <w:spacing w:after="240" w:line="240" w:lineRule="auto"/>
        <w:ind w:left="567"/>
        <w:jc w:val="both"/>
        <w:rPr>
          <w:rFonts w:ascii="Times New Roman" w:eastAsia="Times New Roman" w:hAnsi="Times New Roman" w:cs="Times New Roman"/>
          <w:color w:val="000000"/>
          <w:sz w:val="27"/>
          <w:szCs w:val="27"/>
          <w:lang w:eastAsia="it-IT"/>
        </w:rPr>
      </w:pPr>
      <w:r w:rsidRPr="00EE4D9C">
        <w:rPr>
          <w:rFonts w:ascii="Times New Roman" w:eastAsia="Times New Roman" w:hAnsi="Times New Roman" w:cs="Times New Roman"/>
          <w:color w:val="000000"/>
          <w:sz w:val="27"/>
          <w:szCs w:val="27"/>
          <w:lang w:eastAsia="it-IT"/>
        </w:rPr>
        <w:t>avvocato generale: P. </w:t>
      </w:r>
      <w:proofErr w:type="spellStart"/>
      <w:r w:rsidRPr="00EE4D9C">
        <w:rPr>
          <w:rFonts w:ascii="Times New Roman" w:eastAsia="Times New Roman" w:hAnsi="Times New Roman" w:cs="Times New Roman"/>
          <w:color w:val="000000"/>
          <w:sz w:val="27"/>
          <w:szCs w:val="27"/>
          <w:lang w:eastAsia="it-IT"/>
        </w:rPr>
        <w:t>Mengozzi</w:t>
      </w:r>
      <w:proofErr w:type="spellEnd"/>
    </w:p>
    <w:p w:rsidR="00EE4D9C" w:rsidRPr="00EE4D9C" w:rsidRDefault="00EE4D9C" w:rsidP="00EE4D9C">
      <w:pPr>
        <w:spacing w:after="240" w:line="240" w:lineRule="auto"/>
        <w:ind w:left="567"/>
        <w:jc w:val="both"/>
        <w:rPr>
          <w:rFonts w:ascii="Times New Roman" w:eastAsia="Times New Roman" w:hAnsi="Times New Roman" w:cs="Times New Roman"/>
          <w:color w:val="000000"/>
          <w:sz w:val="27"/>
          <w:szCs w:val="27"/>
          <w:lang w:eastAsia="it-IT"/>
        </w:rPr>
      </w:pPr>
      <w:r w:rsidRPr="00EE4D9C">
        <w:rPr>
          <w:rFonts w:ascii="Times New Roman" w:eastAsia="Times New Roman" w:hAnsi="Times New Roman" w:cs="Times New Roman"/>
          <w:color w:val="000000"/>
          <w:sz w:val="27"/>
          <w:szCs w:val="27"/>
          <w:lang w:eastAsia="it-IT"/>
        </w:rPr>
        <w:t>cancelliere: M. Ferreira, amministratore principale</w:t>
      </w:r>
    </w:p>
    <w:p w:rsidR="00EE4D9C" w:rsidRPr="00EE4D9C" w:rsidRDefault="00EE4D9C" w:rsidP="00EE4D9C">
      <w:pPr>
        <w:spacing w:after="240" w:line="240" w:lineRule="auto"/>
        <w:ind w:left="567"/>
        <w:jc w:val="both"/>
        <w:rPr>
          <w:rFonts w:ascii="Times New Roman" w:eastAsia="Times New Roman" w:hAnsi="Times New Roman" w:cs="Times New Roman"/>
          <w:color w:val="000000"/>
          <w:sz w:val="27"/>
          <w:szCs w:val="27"/>
          <w:lang w:eastAsia="it-IT"/>
        </w:rPr>
      </w:pPr>
      <w:r w:rsidRPr="00EE4D9C">
        <w:rPr>
          <w:rFonts w:ascii="Times New Roman" w:eastAsia="Times New Roman" w:hAnsi="Times New Roman" w:cs="Times New Roman"/>
          <w:color w:val="000000"/>
          <w:sz w:val="27"/>
          <w:szCs w:val="27"/>
          <w:lang w:eastAsia="it-IT"/>
        </w:rPr>
        <w:t>vista la fase scritta del procedimento e in seguito all’udienza del 21 novembre 2013,</w:t>
      </w:r>
    </w:p>
    <w:p w:rsidR="00EE4D9C" w:rsidRPr="00EE4D9C" w:rsidRDefault="00EE4D9C" w:rsidP="00EE4D9C">
      <w:pPr>
        <w:spacing w:after="240" w:line="240" w:lineRule="auto"/>
        <w:ind w:left="567"/>
        <w:jc w:val="both"/>
        <w:rPr>
          <w:rFonts w:ascii="Times New Roman" w:eastAsia="Times New Roman" w:hAnsi="Times New Roman" w:cs="Times New Roman"/>
          <w:color w:val="000000"/>
          <w:sz w:val="27"/>
          <w:szCs w:val="27"/>
          <w:lang w:eastAsia="it-IT"/>
        </w:rPr>
      </w:pPr>
      <w:r w:rsidRPr="00EE4D9C">
        <w:rPr>
          <w:rFonts w:ascii="Times New Roman" w:eastAsia="Times New Roman" w:hAnsi="Times New Roman" w:cs="Times New Roman"/>
          <w:color w:val="000000"/>
          <w:sz w:val="27"/>
          <w:szCs w:val="27"/>
          <w:lang w:eastAsia="it-IT"/>
        </w:rPr>
        <w:t>considerate le osservazioni presentate:</w:t>
      </w:r>
    </w:p>
    <w:p w:rsidR="00EE4D9C" w:rsidRPr="00EE4D9C" w:rsidRDefault="00EE4D9C" w:rsidP="00EE4D9C">
      <w:pPr>
        <w:spacing w:before="100" w:beforeAutospacing="1" w:after="240" w:line="240" w:lineRule="auto"/>
        <w:ind w:left="1134" w:hanging="567"/>
        <w:jc w:val="both"/>
        <w:rPr>
          <w:rFonts w:ascii="Times New Roman" w:eastAsia="Times New Roman" w:hAnsi="Times New Roman" w:cs="Times New Roman"/>
          <w:color w:val="000000"/>
          <w:sz w:val="27"/>
          <w:szCs w:val="27"/>
          <w:lang w:eastAsia="it-IT"/>
        </w:rPr>
      </w:pPr>
      <w:r w:rsidRPr="00EE4D9C">
        <w:rPr>
          <w:rFonts w:ascii="Times New Roman" w:eastAsia="Times New Roman" w:hAnsi="Times New Roman" w:cs="Times New Roman"/>
          <w:color w:val="000000"/>
          <w:sz w:val="27"/>
          <w:szCs w:val="27"/>
          <w:lang w:eastAsia="it-IT"/>
        </w:rPr>
        <w:t xml:space="preserve">–        per il Centro </w:t>
      </w:r>
      <w:proofErr w:type="spellStart"/>
      <w:r w:rsidRPr="00EE4D9C">
        <w:rPr>
          <w:rFonts w:ascii="Times New Roman" w:eastAsia="Times New Roman" w:hAnsi="Times New Roman" w:cs="Times New Roman"/>
          <w:color w:val="000000"/>
          <w:sz w:val="27"/>
          <w:szCs w:val="27"/>
          <w:lang w:eastAsia="it-IT"/>
        </w:rPr>
        <w:t>Hospitalar</w:t>
      </w:r>
      <w:proofErr w:type="spellEnd"/>
      <w:r w:rsidRPr="00EE4D9C">
        <w:rPr>
          <w:rFonts w:ascii="Times New Roman" w:eastAsia="Times New Roman" w:hAnsi="Times New Roman" w:cs="Times New Roman"/>
          <w:color w:val="000000"/>
          <w:sz w:val="27"/>
          <w:szCs w:val="27"/>
          <w:lang w:eastAsia="it-IT"/>
        </w:rPr>
        <w:t xml:space="preserve"> de Setúbal EPE, da M. Real Martins e S. </w:t>
      </w:r>
      <w:proofErr w:type="spellStart"/>
      <w:r w:rsidRPr="00EE4D9C">
        <w:rPr>
          <w:rFonts w:ascii="Times New Roman" w:eastAsia="Times New Roman" w:hAnsi="Times New Roman" w:cs="Times New Roman"/>
          <w:color w:val="000000"/>
          <w:sz w:val="27"/>
          <w:szCs w:val="27"/>
          <w:lang w:eastAsia="it-IT"/>
        </w:rPr>
        <w:t>Alves</w:t>
      </w:r>
      <w:proofErr w:type="spellEnd"/>
      <w:r w:rsidRPr="00EE4D9C">
        <w:rPr>
          <w:rFonts w:ascii="Times New Roman" w:eastAsia="Times New Roman" w:hAnsi="Times New Roman" w:cs="Times New Roman"/>
          <w:color w:val="000000"/>
          <w:sz w:val="27"/>
          <w:szCs w:val="27"/>
          <w:lang w:eastAsia="it-IT"/>
        </w:rPr>
        <w:t xml:space="preserve"> </w:t>
      </w:r>
      <w:proofErr w:type="spellStart"/>
      <w:r w:rsidRPr="00EE4D9C">
        <w:rPr>
          <w:rFonts w:ascii="Times New Roman" w:eastAsia="Times New Roman" w:hAnsi="Times New Roman" w:cs="Times New Roman"/>
          <w:color w:val="000000"/>
          <w:sz w:val="27"/>
          <w:szCs w:val="27"/>
          <w:lang w:eastAsia="it-IT"/>
        </w:rPr>
        <w:t>Ribeiro</w:t>
      </w:r>
      <w:proofErr w:type="spellEnd"/>
      <w:r w:rsidRPr="00EE4D9C">
        <w:rPr>
          <w:rFonts w:ascii="Times New Roman" w:eastAsia="Times New Roman" w:hAnsi="Times New Roman" w:cs="Times New Roman"/>
          <w:color w:val="000000"/>
          <w:sz w:val="27"/>
          <w:szCs w:val="27"/>
          <w:lang w:eastAsia="it-IT"/>
        </w:rPr>
        <w:t xml:space="preserve">, </w:t>
      </w:r>
      <w:proofErr w:type="spellStart"/>
      <w:r w:rsidRPr="00EE4D9C">
        <w:rPr>
          <w:rFonts w:ascii="Times New Roman" w:eastAsia="Times New Roman" w:hAnsi="Times New Roman" w:cs="Times New Roman"/>
          <w:color w:val="000000"/>
          <w:sz w:val="27"/>
          <w:szCs w:val="27"/>
          <w:lang w:eastAsia="it-IT"/>
        </w:rPr>
        <w:t>advogados</w:t>
      </w:r>
      <w:proofErr w:type="spellEnd"/>
      <w:r w:rsidRPr="00EE4D9C">
        <w:rPr>
          <w:rFonts w:ascii="Times New Roman" w:eastAsia="Times New Roman" w:hAnsi="Times New Roman" w:cs="Times New Roman"/>
          <w:color w:val="000000"/>
          <w:sz w:val="27"/>
          <w:szCs w:val="27"/>
          <w:lang w:eastAsia="it-IT"/>
        </w:rPr>
        <w:t>;</w:t>
      </w:r>
    </w:p>
    <w:p w:rsidR="00EE4D9C" w:rsidRPr="00EE4D9C" w:rsidRDefault="00EE4D9C" w:rsidP="00EE4D9C">
      <w:pPr>
        <w:spacing w:before="100" w:beforeAutospacing="1" w:after="240" w:line="240" w:lineRule="auto"/>
        <w:ind w:left="1134" w:hanging="567"/>
        <w:jc w:val="both"/>
        <w:rPr>
          <w:rFonts w:ascii="Times New Roman" w:eastAsia="Times New Roman" w:hAnsi="Times New Roman" w:cs="Times New Roman"/>
          <w:color w:val="000000"/>
          <w:sz w:val="27"/>
          <w:szCs w:val="27"/>
          <w:lang w:eastAsia="it-IT"/>
        </w:rPr>
      </w:pPr>
      <w:r w:rsidRPr="00EE4D9C">
        <w:rPr>
          <w:rFonts w:ascii="Times New Roman" w:eastAsia="Times New Roman" w:hAnsi="Times New Roman" w:cs="Times New Roman"/>
          <w:color w:val="000000"/>
          <w:sz w:val="27"/>
          <w:szCs w:val="27"/>
          <w:lang w:eastAsia="it-IT"/>
        </w:rPr>
        <w:lastRenderedPageBreak/>
        <w:t xml:space="preserve">–        per il </w:t>
      </w:r>
      <w:proofErr w:type="spellStart"/>
      <w:r w:rsidRPr="00EE4D9C">
        <w:rPr>
          <w:rFonts w:ascii="Times New Roman" w:eastAsia="Times New Roman" w:hAnsi="Times New Roman" w:cs="Times New Roman"/>
          <w:color w:val="000000"/>
          <w:sz w:val="27"/>
          <w:szCs w:val="27"/>
          <w:lang w:eastAsia="it-IT"/>
        </w:rPr>
        <w:t>Serviço</w:t>
      </w:r>
      <w:proofErr w:type="spellEnd"/>
      <w:r w:rsidRPr="00EE4D9C">
        <w:rPr>
          <w:rFonts w:ascii="Times New Roman" w:eastAsia="Times New Roman" w:hAnsi="Times New Roman" w:cs="Times New Roman"/>
          <w:color w:val="000000"/>
          <w:sz w:val="27"/>
          <w:szCs w:val="27"/>
          <w:lang w:eastAsia="it-IT"/>
        </w:rPr>
        <w:t xml:space="preserve"> de </w:t>
      </w:r>
      <w:proofErr w:type="spellStart"/>
      <w:r w:rsidRPr="00EE4D9C">
        <w:rPr>
          <w:rFonts w:ascii="Times New Roman" w:eastAsia="Times New Roman" w:hAnsi="Times New Roman" w:cs="Times New Roman"/>
          <w:color w:val="000000"/>
          <w:sz w:val="27"/>
          <w:szCs w:val="27"/>
          <w:lang w:eastAsia="it-IT"/>
        </w:rPr>
        <w:t>Utilização</w:t>
      </w:r>
      <w:proofErr w:type="spellEnd"/>
      <w:r w:rsidRPr="00EE4D9C">
        <w:rPr>
          <w:rFonts w:ascii="Times New Roman" w:eastAsia="Times New Roman" w:hAnsi="Times New Roman" w:cs="Times New Roman"/>
          <w:color w:val="000000"/>
          <w:sz w:val="27"/>
          <w:szCs w:val="27"/>
          <w:lang w:eastAsia="it-IT"/>
        </w:rPr>
        <w:t xml:space="preserve"> </w:t>
      </w:r>
      <w:proofErr w:type="spellStart"/>
      <w:r w:rsidRPr="00EE4D9C">
        <w:rPr>
          <w:rFonts w:ascii="Times New Roman" w:eastAsia="Times New Roman" w:hAnsi="Times New Roman" w:cs="Times New Roman"/>
          <w:color w:val="000000"/>
          <w:sz w:val="27"/>
          <w:szCs w:val="27"/>
          <w:lang w:eastAsia="it-IT"/>
        </w:rPr>
        <w:t>Comum</w:t>
      </w:r>
      <w:proofErr w:type="spellEnd"/>
      <w:r w:rsidRPr="00EE4D9C">
        <w:rPr>
          <w:rFonts w:ascii="Times New Roman" w:eastAsia="Times New Roman" w:hAnsi="Times New Roman" w:cs="Times New Roman"/>
          <w:color w:val="000000"/>
          <w:sz w:val="27"/>
          <w:szCs w:val="27"/>
          <w:lang w:eastAsia="it-IT"/>
        </w:rPr>
        <w:t xml:space="preserve"> </w:t>
      </w:r>
      <w:proofErr w:type="spellStart"/>
      <w:r w:rsidRPr="00EE4D9C">
        <w:rPr>
          <w:rFonts w:ascii="Times New Roman" w:eastAsia="Times New Roman" w:hAnsi="Times New Roman" w:cs="Times New Roman"/>
          <w:color w:val="000000"/>
          <w:sz w:val="27"/>
          <w:szCs w:val="27"/>
          <w:lang w:eastAsia="it-IT"/>
        </w:rPr>
        <w:t>dos</w:t>
      </w:r>
      <w:proofErr w:type="spellEnd"/>
      <w:r w:rsidRPr="00EE4D9C">
        <w:rPr>
          <w:rFonts w:ascii="Times New Roman" w:eastAsia="Times New Roman" w:hAnsi="Times New Roman" w:cs="Times New Roman"/>
          <w:color w:val="000000"/>
          <w:sz w:val="27"/>
          <w:szCs w:val="27"/>
          <w:lang w:eastAsia="it-IT"/>
        </w:rPr>
        <w:t xml:space="preserve"> </w:t>
      </w:r>
      <w:proofErr w:type="spellStart"/>
      <w:r w:rsidRPr="00EE4D9C">
        <w:rPr>
          <w:rFonts w:ascii="Times New Roman" w:eastAsia="Times New Roman" w:hAnsi="Times New Roman" w:cs="Times New Roman"/>
          <w:color w:val="000000"/>
          <w:sz w:val="27"/>
          <w:szCs w:val="27"/>
          <w:lang w:eastAsia="it-IT"/>
        </w:rPr>
        <w:t>Hospitais</w:t>
      </w:r>
      <w:proofErr w:type="spellEnd"/>
      <w:r w:rsidRPr="00EE4D9C">
        <w:rPr>
          <w:rFonts w:ascii="Times New Roman" w:eastAsia="Times New Roman" w:hAnsi="Times New Roman" w:cs="Times New Roman"/>
          <w:color w:val="000000"/>
          <w:sz w:val="27"/>
          <w:szCs w:val="27"/>
          <w:lang w:eastAsia="it-IT"/>
        </w:rPr>
        <w:t xml:space="preserve"> (SUCH), da M. Claro, </w:t>
      </w:r>
      <w:proofErr w:type="spellStart"/>
      <w:r w:rsidRPr="00EE4D9C">
        <w:rPr>
          <w:rFonts w:ascii="Times New Roman" w:eastAsia="Times New Roman" w:hAnsi="Times New Roman" w:cs="Times New Roman"/>
          <w:color w:val="000000"/>
          <w:sz w:val="27"/>
          <w:szCs w:val="27"/>
          <w:lang w:eastAsia="it-IT"/>
        </w:rPr>
        <w:t>advogada</w:t>
      </w:r>
      <w:proofErr w:type="spellEnd"/>
      <w:r w:rsidRPr="00EE4D9C">
        <w:rPr>
          <w:rFonts w:ascii="Times New Roman" w:eastAsia="Times New Roman" w:hAnsi="Times New Roman" w:cs="Times New Roman"/>
          <w:color w:val="000000"/>
          <w:sz w:val="27"/>
          <w:szCs w:val="27"/>
          <w:lang w:eastAsia="it-IT"/>
        </w:rPr>
        <w:t>;</w:t>
      </w:r>
    </w:p>
    <w:p w:rsidR="00EE4D9C" w:rsidRPr="00EE4D9C" w:rsidRDefault="00EE4D9C" w:rsidP="00EE4D9C">
      <w:pPr>
        <w:spacing w:before="100" w:beforeAutospacing="1" w:after="240" w:line="240" w:lineRule="auto"/>
        <w:ind w:left="1134" w:hanging="567"/>
        <w:jc w:val="both"/>
        <w:rPr>
          <w:rFonts w:ascii="Times New Roman" w:eastAsia="Times New Roman" w:hAnsi="Times New Roman" w:cs="Times New Roman"/>
          <w:color w:val="000000"/>
          <w:sz w:val="27"/>
          <w:szCs w:val="27"/>
          <w:lang w:eastAsia="it-IT"/>
        </w:rPr>
      </w:pPr>
      <w:r w:rsidRPr="00EE4D9C">
        <w:rPr>
          <w:rFonts w:ascii="Times New Roman" w:eastAsia="Times New Roman" w:hAnsi="Times New Roman" w:cs="Times New Roman"/>
          <w:color w:val="000000"/>
          <w:sz w:val="27"/>
          <w:szCs w:val="27"/>
          <w:lang w:eastAsia="it-IT"/>
        </w:rPr>
        <w:t xml:space="preserve">–        per </w:t>
      </w:r>
      <w:proofErr w:type="spellStart"/>
      <w:r w:rsidRPr="00EE4D9C">
        <w:rPr>
          <w:rFonts w:ascii="Times New Roman" w:eastAsia="Times New Roman" w:hAnsi="Times New Roman" w:cs="Times New Roman"/>
          <w:color w:val="000000"/>
          <w:sz w:val="27"/>
          <w:szCs w:val="27"/>
          <w:lang w:eastAsia="it-IT"/>
        </w:rPr>
        <w:t>Eurest</w:t>
      </w:r>
      <w:proofErr w:type="spellEnd"/>
      <w:r w:rsidRPr="00EE4D9C">
        <w:rPr>
          <w:rFonts w:ascii="Times New Roman" w:eastAsia="Times New Roman" w:hAnsi="Times New Roman" w:cs="Times New Roman"/>
          <w:color w:val="000000"/>
          <w:sz w:val="27"/>
          <w:szCs w:val="27"/>
          <w:lang w:eastAsia="it-IT"/>
        </w:rPr>
        <w:t xml:space="preserve"> (Portugal) – </w:t>
      </w:r>
      <w:proofErr w:type="spellStart"/>
      <w:r w:rsidRPr="00EE4D9C">
        <w:rPr>
          <w:rFonts w:ascii="Times New Roman" w:eastAsia="Times New Roman" w:hAnsi="Times New Roman" w:cs="Times New Roman"/>
          <w:color w:val="000000"/>
          <w:sz w:val="27"/>
          <w:szCs w:val="27"/>
          <w:lang w:eastAsia="it-IT"/>
        </w:rPr>
        <w:t>Sociedade</w:t>
      </w:r>
      <w:proofErr w:type="spellEnd"/>
      <w:r w:rsidRPr="00EE4D9C">
        <w:rPr>
          <w:rFonts w:ascii="Times New Roman" w:eastAsia="Times New Roman" w:hAnsi="Times New Roman" w:cs="Times New Roman"/>
          <w:color w:val="000000"/>
          <w:sz w:val="27"/>
          <w:szCs w:val="27"/>
          <w:lang w:eastAsia="it-IT"/>
        </w:rPr>
        <w:t xml:space="preserve"> </w:t>
      </w:r>
      <w:proofErr w:type="spellStart"/>
      <w:r w:rsidRPr="00EE4D9C">
        <w:rPr>
          <w:rFonts w:ascii="Times New Roman" w:eastAsia="Times New Roman" w:hAnsi="Times New Roman" w:cs="Times New Roman"/>
          <w:color w:val="000000"/>
          <w:sz w:val="27"/>
          <w:szCs w:val="27"/>
          <w:lang w:eastAsia="it-IT"/>
        </w:rPr>
        <w:t>Europeia</w:t>
      </w:r>
      <w:proofErr w:type="spellEnd"/>
      <w:r w:rsidRPr="00EE4D9C">
        <w:rPr>
          <w:rFonts w:ascii="Times New Roman" w:eastAsia="Times New Roman" w:hAnsi="Times New Roman" w:cs="Times New Roman"/>
          <w:color w:val="000000"/>
          <w:sz w:val="27"/>
          <w:szCs w:val="27"/>
          <w:lang w:eastAsia="it-IT"/>
        </w:rPr>
        <w:t xml:space="preserve"> de </w:t>
      </w:r>
      <w:proofErr w:type="spellStart"/>
      <w:r w:rsidRPr="00EE4D9C">
        <w:rPr>
          <w:rFonts w:ascii="Times New Roman" w:eastAsia="Times New Roman" w:hAnsi="Times New Roman" w:cs="Times New Roman"/>
          <w:color w:val="000000"/>
          <w:sz w:val="27"/>
          <w:szCs w:val="27"/>
          <w:lang w:eastAsia="it-IT"/>
        </w:rPr>
        <w:t>Restaurantes</w:t>
      </w:r>
      <w:proofErr w:type="spellEnd"/>
      <w:r w:rsidRPr="00EE4D9C">
        <w:rPr>
          <w:rFonts w:ascii="Times New Roman" w:eastAsia="Times New Roman" w:hAnsi="Times New Roman" w:cs="Times New Roman"/>
          <w:color w:val="000000"/>
          <w:sz w:val="27"/>
          <w:szCs w:val="27"/>
          <w:lang w:eastAsia="it-IT"/>
        </w:rPr>
        <w:t xml:space="preserve"> </w:t>
      </w:r>
      <w:proofErr w:type="spellStart"/>
      <w:r w:rsidRPr="00EE4D9C">
        <w:rPr>
          <w:rFonts w:ascii="Times New Roman" w:eastAsia="Times New Roman" w:hAnsi="Times New Roman" w:cs="Times New Roman"/>
          <w:color w:val="000000"/>
          <w:sz w:val="27"/>
          <w:szCs w:val="27"/>
          <w:lang w:eastAsia="it-IT"/>
        </w:rPr>
        <w:t>Lda</w:t>
      </w:r>
      <w:proofErr w:type="spellEnd"/>
      <w:r w:rsidRPr="00EE4D9C">
        <w:rPr>
          <w:rFonts w:ascii="Times New Roman" w:eastAsia="Times New Roman" w:hAnsi="Times New Roman" w:cs="Times New Roman"/>
          <w:color w:val="000000"/>
          <w:sz w:val="27"/>
          <w:szCs w:val="27"/>
          <w:lang w:eastAsia="it-IT"/>
        </w:rPr>
        <w:t xml:space="preserve">, da M. Lucas </w:t>
      </w:r>
      <w:proofErr w:type="spellStart"/>
      <w:r w:rsidRPr="00EE4D9C">
        <w:rPr>
          <w:rFonts w:ascii="Times New Roman" w:eastAsia="Times New Roman" w:hAnsi="Times New Roman" w:cs="Times New Roman"/>
          <w:color w:val="000000"/>
          <w:sz w:val="27"/>
          <w:szCs w:val="27"/>
          <w:lang w:eastAsia="it-IT"/>
        </w:rPr>
        <w:t>Rodrigues</w:t>
      </w:r>
      <w:proofErr w:type="spellEnd"/>
      <w:r w:rsidRPr="00EE4D9C">
        <w:rPr>
          <w:rFonts w:ascii="Times New Roman" w:eastAsia="Times New Roman" w:hAnsi="Times New Roman" w:cs="Times New Roman"/>
          <w:color w:val="000000"/>
          <w:sz w:val="27"/>
          <w:szCs w:val="27"/>
          <w:lang w:eastAsia="it-IT"/>
        </w:rPr>
        <w:t xml:space="preserve">, </w:t>
      </w:r>
      <w:proofErr w:type="spellStart"/>
      <w:r w:rsidRPr="00EE4D9C">
        <w:rPr>
          <w:rFonts w:ascii="Times New Roman" w:eastAsia="Times New Roman" w:hAnsi="Times New Roman" w:cs="Times New Roman"/>
          <w:color w:val="000000"/>
          <w:sz w:val="27"/>
          <w:szCs w:val="27"/>
          <w:lang w:eastAsia="it-IT"/>
        </w:rPr>
        <w:t>advogada</w:t>
      </w:r>
      <w:proofErr w:type="spellEnd"/>
      <w:r w:rsidRPr="00EE4D9C">
        <w:rPr>
          <w:rFonts w:ascii="Times New Roman" w:eastAsia="Times New Roman" w:hAnsi="Times New Roman" w:cs="Times New Roman"/>
          <w:color w:val="000000"/>
          <w:sz w:val="27"/>
          <w:szCs w:val="27"/>
          <w:lang w:eastAsia="it-IT"/>
        </w:rPr>
        <w:t>;</w:t>
      </w:r>
    </w:p>
    <w:p w:rsidR="00EE4D9C" w:rsidRPr="00EE4D9C" w:rsidRDefault="00EE4D9C" w:rsidP="00EE4D9C">
      <w:pPr>
        <w:spacing w:before="100" w:beforeAutospacing="1" w:after="240" w:line="240" w:lineRule="auto"/>
        <w:ind w:left="1134" w:hanging="567"/>
        <w:jc w:val="both"/>
        <w:rPr>
          <w:rFonts w:ascii="Times New Roman" w:eastAsia="Times New Roman" w:hAnsi="Times New Roman" w:cs="Times New Roman"/>
          <w:color w:val="000000"/>
          <w:sz w:val="27"/>
          <w:szCs w:val="27"/>
          <w:lang w:eastAsia="it-IT"/>
        </w:rPr>
      </w:pPr>
      <w:r w:rsidRPr="00EE4D9C">
        <w:rPr>
          <w:rFonts w:ascii="Times New Roman" w:eastAsia="Times New Roman" w:hAnsi="Times New Roman" w:cs="Times New Roman"/>
          <w:color w:val="000000"/>
          <w:sz w:val="27"/>
          <w:szCs w:val="27"/>
          <w:lang w:eastAsia="it-IT"/>
        </w:rPr>
        <w:t>–        per il governo portoghese, da L. </w:t>
      </w:r>
      <w:proofErr w:type="spellStart"/>
      <w:r w:rsidRPr="00EE4D9C">
        <w:rPr>
          <w:rFonts w:ascii="Times New Roman" w:eastAsia="Times New Roman" w:hAnsi="Times New Roman" w:cs="Times New Roman"/>
          <w:color w:val="000000"/>
          <w:sz w:val="27"/>
          <w:szCs w:val="27"/>
          <w:lang w:eastAsia="it-IT"/>
        </w:rPr>
        <w:t>Inez</w:t>
      </w:r>
      <w:proofErr w:type="spellEnd"/>
      <w:r w:rsidRPr="00EE4D9C">
        <w:rPr>
          <w:rFonts w:ascii="Times New Roman" w:eastAsia="Times New Roman" w:hAnsi="Times New Roman" w:cs="Times New Roman"/>
          <w:color w:val="000000"/>
          <w:sz w:val="27"/>
          <w:szCs w:val="27"/>
          <w:lang w:eastAsia="it-IT"/>
        </w:rPr>
        <w:t xml:space="preserve"> </w:t>
      </w:r>
      <w:proofErr w:type="spellStart"/>
      <w:r w:rsidRPr="00EE4D9C">
        <w:rPr>
          <w:rFonts w:ascii="Times New Roman" w:eastAsia="Times New Roman" w:hAnsi="Times New Roman" w:cs="Times New Roman"/>
          <w:color w:val="000000"/>
          <w:sz w:val="27"/>
          <w:szCs w:val="27"/>
          <w:lang w:eastAsia="it-IT"/>
        </w:rPr>
        <w:t>Fernandes</w:t>
      </w:r>
      <w:proofErr w:type="spellEnd"/>
      <w:r w:rsidRPr="00EE4D9C">
        <w:rPr>
          <w:rFonts w:ascii="Times New Roman" w:eastAsia="Times New Roman" w:hAnsi="Times New Roman" w:cs="Times New Roman"/>
          <w:color w:val="000000"/>
          <w:sz w:val="27"/>
          <w:szCs w:val="27"/>
          <w:lang w:eastAsia="it-IT"/>
        </w:rPr>
        <w:t xml:space="preserve"> e A. </w:t>
      </w:r>
      <w:proofErr w:type="spellStart"/>
      <w:r w:rsidRPr="00EE4D9C">
        <w:rPr>
          <w:rFonts w:ascii="Times New Roman" w:eastAsia="Times New Roman" w:hAnsi="Times New Roman" w:cs="Times New Roman"/>
          <w:color w:val="000000"/>
          <w:sz w:val="27"/>
          <w:szCs w:val="27"/>
          <w:lang w:eastAsia="it-IT"/>
        </w:rPr>
        <w:t>Navegas</w:t>
      </w:r>
      <w:proofErr w:type="spellEnd"/>
      <w:r w:rsidRPr="00EE4D9C">
        <w:rPr>
          <w:rFonts w:ascii="Times New Roman" w:eastAsia="Times New Roman" w:hAnsi="Times New Roman" w:cs="Times New Roman"/>
          <w:color w:val="000000"/>
          <w:sz w:val="27"/>
          <w:szCs w:val="27"/>
          <w:lang w:eastAsia="it-IT"/>
        </w:rPr>
        <w:t>, in qualità di agenti;</w:t>
      </w:r>
    </w:p>
    <w:p w:rsidR="00EE4D9C" w:rsidRPr="00EE4D9C" w:rsidRDefault="00EE4D9C" w:rsidP="00EE4D9C">
      <w:pPr>
        <w:spacing w:before="100" w:beforeAutospacing="1" w:after="240" w:line="240" w:lineRule="auto"/>
        <w:ind w:left="1134" w:hanging="567"/>
        <w:jc w:val="both"/>
        <w:rPr>
          <w:rFonts w:ascii="Times New Roman" w:eastAsia="Times New Roman" w:hAnsi="Times New Roman" w:cs="Times New Roman"/>
          <w:color w:val="000000"/>
          <w:sz w:val="27"/>
          <w:szCs w:val="27"/>
          <w:lang w:eastAsia="it-IT"/>
        </w:rPr>
      </w:pPr>
      <w:r w:rsidRPr="00EE4D9C">
        <w:rPr>
          <w:rFonts w:ascii="Times New Roman" w:eastAsia="Times New Roman" w:hAnsi="Times New Roman" w:cs="Times New Roman"/>
          <w:color w:val="000000"/>
          <w:sz w:val="27"/>
          <w:szCs w:val="27"/>
          <w:lang w:eastAsia="it-IT"/>
        </w:rPr>
        <w:t>–        per il governo spagnolo, da M. J. García-</w:t>
      </w:r>
      <w:proofErr w:type="spellStart"/>
      <w:r w:rsidRPr="00EE4D9C">
        <w:rPr>
          <w:rFonts w:ascii="Times New Roman" w:eastAsia="Times New Roman" w:hAnsi="Times New Roman" w:cs="Times New Roman"/>
          <w:color w:val="000000"/>
          <w:sz w:val="27"/>
          <w:szCs w:val="27"/>
          <w:lang w:eastAsia="it-IT"/>
        </w:rPr>
        <w:t>Valdecasas</w:t>
      </w:r>
      <w:proofErr w:type="spellEnd"/>
      <w:r w:rsidRPr="00EE4D9C">
        <w:rPr>
          <w:rFonts w:ascii="Times New Roman" w:eastAsia="Times New Roman" w:hAnsi="Times New Roman" w:cs="Times New Roman"/>
          <w:color w:val="000000"/>
          <w:sz w:val="27"/>
          <w:szCs w:val="27"/>
          <w:lang w:eastAsia="it-IT"/>
        </w:rPr>
        <w:t xml:space="preserve"> </w:t>
      </w:r>
      <w:proofErr w:type="spellStart"/>
      <w:r w:rsidRPr="00EE4D9C">
        <w:rPr>
          <w:rFonts w:ascii="Times New Roman" w:eastAsia="Times New Roman" w:hAnsi="Times New Roman" w:cs="Times New Roman"/>
          <w:color w:val="000000"/>
          <w:sz w:val="27"/>
          <w:szCs w:val="27"/>
          <w:lang w:eastAsia="it-IT"/>
        </w:rPr>
        <w:t>Dorrego</w:t>
      </w:r>
      <w:proofErr w:type="spellEnd"/>
      <w:r w:rsidRPr="00EE4D9C">
        <w:rPr>
          <w:rFonts w:ascii="Times New Roman" w:eastAsia="Times New Roman" w:hAnsi="Times New Roman" w:cs="Times New Roman"/>
          <w:color w:val="000000"/>
          <w:sz w:val="27"/>
          <w:szCs w:val="27"/>
          <w:lang w:eastAsia="it-IT"/>
        </w:rPr>
        <w:t>, in qualità di agente;</w:t>
      </w:r>
    </w:p>
    <w:p w:rsidR="00EE4D9C" w:rsidRPr="00EE4D9C" w:rsidRDefault="00EE4D9C" w:rsidP="00EE4D9C">
      <w:pPr>
        <w:spacing w:before="100" w:beforeAutospacing="1" w:after="240" w:line="240" w:lineRule="auto"/>
        <w:ind w:left="1134" w:hanging="567"/>
        <w:jc w:val="both"/>
        <w:rPr>
          <w:rFonts w:ascii="Times New Roman" w:eastAsia="Times New Roman" w:hAnsi="Times New Roman" w:cs="Times New Roman"/>
          <w:color w:val="000000"/>
          <w:sz w:val="27"/>
          <w:szCs w:val="27"/>
          <w:lang w:eastAsia="it-IT"/>
        </w:rPr>
      </w:pPr>
      <w:r w:rsidRPr="00EE4D9C">
        <w:rPr>
          <w:rFonts w:ascii="Times New Roman" w:eastAsia="Times New Roman" w:hAnsi="Times New Roman" w:cs="Times New Roman"/>
          <w:color w:val="000000"/>
          <w:sz w:val="27"/>
          <w:szCs w:val="27"/>
          <w:lang w:eastAsia="it-IT"/>
        </w:rPr>
        <w:t>–        per la Commissione europea, da M. </w:t>
      </w:r>
      <w:proofErr w:type="spellStart"/>
      <w:r w:rsidRPr="00EE4D9C">
        <w:rPr>
          <w:rFonts w:ascii="Times New Roman" w:eastAsia="Times New Roman" w:hAnsi="Times New Roman" w:cs="Times New Roman"/>
          <w:color w:val="000000"/>
          <w:sz w:val="27"/>
          <w:szCs w:val="27"/>
          <w:lang w:eastAsia="it-IT"/>
        </w:rPr>
        <w:t>Afonso</w:t>
      </w:r>
      <w:proofErr w:type="spellEnd"/>
      <w:r w:rsidRPr="00EE4D9C">
        <w:rPr>
          <w:rFonts w:ascii="Times New Roman" w:eastAsia="Times New Roman" w:hAnsi="Times New Roman" w:cs="Times New Roman"/>
          <w:color w:val="000000"/>
          <w:sz w:val="27"/>
          <w:szCs w:val="27"/>
          <w:lang w:eastAsia="it-IT"/>
        </w:rPr>
        <w:t>, A. </w:t>
      </w:r>
      <w:proofErr w:type="spellStart"/>
      <w:r w:rsidRPr="00EE4D9C">
        <w:rPr>
          <w:rFonts w:ascii="Times New Roman" w:eastAsia="Times New Roman" w:hAnsi="Times New Roman" w:cs="Times New Roman"/>
          <w:color w:val="000000"/>
          <w:sz w:val="27"/>
          <w:szCs w:val="27"/>
          <w:lang w:eastAsia="it-IT"/>
        </w:rPr>
        <w:t>Tokár</w:t>
      </w:r>
      <w:proofErr w:type="spellEnd"/>
      <w:r w:rsidRPr="00EE4D9C">
        <w:rPr>
          <w:rFonts w:ascii="Times New Roman" w:eastAsia="Times New Roman" w:hAnsi="Times New Roman" w:cs="Times New Roman"/>
          <w:color w:val="000000"/>
          <w:sz w:val="27"/>
          <w:szCs w:val="27"/>
          <w:lang w:eastAsia="it-IT"/>
        </w:rPr>
        <w:t xml:space="preserve"> e M. </w:t>
      </w:r>
      <w:proofErr w:type="spellStart"/>
      <w:r w:rsidRPr="00EE4D9C">
        <w:rPr>
          <w:rFonts w:ascii="Times New Roman" w:eastAsia="Times New Roman" w:hAnsi="Times New Roman" w:cs="Times New Roman"/>
          <w:color w:val="000000"/>
          <w:sz w:val="27"/>
          <w:szCs w:val="27"/>
          <w:lang w:eastAsia="it-IT"/>
        </w:rPr>
        <w:t>Noll-Ehlers</w:t>
      </w:r>
      <w:proofErr w:type="spellEnd"/>
      <w:r w:rsidRPr="00EE4D9C">
        <w:rPr>
          <w:rFonts w:ascii="Times New Roman" w:eastAsia="Times New Roman" w:hAnsi="Times New Roman" w:cs="Times New Roman"/>
          <w:color w:val="000000"/>
          <w:sz w:val="27"/>
          <w:szCs w:val="27"/>
          <w:lang w:eastAsia="it-IT"/>
        </w:rPr>
        <w:t>, in qualità di agenti,</w:t>
      </w:r>
    </w:p>
    <w:p w:rsidR="00EE4D9C" w:rsidRPr="00EE4D9C" w:rsidRDefault="00EE4D9C" w:rsidP="00EE4D9C">
      <w:pPr>
        <w:spacing w:after="240" w:line="240" w:lineRule="auto"/>
        <w:ind w:left="567"/>
        <w:jc w:val="both"/>
        <w:rPr>
          <w:rFonts w:ascii="Times New Roman" w:eastAsia="Times New Roman" w:hAnsi="Times New Roman" w:cs="Times New Roman"/>
          <w:color w:val="000000"/>
          <w:sz w:val="27"/>
          <w:szCs w:val="27"/>
          <w:lang w:eastAsia="it-IT"/>
        </w:rPr>
      </w:pPr>
      <w:r w:rsidRPr="00EE4D9C">
        <w:rPr>
          <w:rFonts w:ascii="Times New Roman" w:eastAsia="Times New Roman" w:hAnsi="Times New Roman" w:cs="Times New Roman"/>
          <w:color w:val="000000"/>
          <w:sz w:val="27"/>
          <w:szCs w:val="27"/>
          <w:lang w:eastAsia="it-IT"/>
        </w:rPr>
        <w:t>sentite le conclusioni dell’avvocato generale, presentate all’udienza del 27 febbraio 2014,</w:t>
      </w:r>
    </w:p>
    <w:p w:rsidR="00EE4D9C" w:rsidRPr="00EE4D9C" w:rsidRDefault="00EE4D9C" w:rsidP="00EE4D9C">
      <w:pPr>
        <w:spacing w:after="240" w:line="240" w:lineRule="auto"/>
        <w:ind w:left="567"/>
        <w:jc w:val="both"/>
        <w:rPr>
          <w:rFonts w:ascii="Times New Roman" w:eastAsia="Times New Roman" w:hAnsi="Times New Roman" w:cs="Times New Roman"/>
          <w:color w:val="000000"/>
          <w:sz w:val="27"/>
          <w:szCs w:val="27"/>
          <w:lang w:eastAsia="it-IT"/>
        </w:rPr>
      </w:pPr>
      <w:r w:rsidRPr="00EE4D9C">
        <w:rPr>
          <w:rFonts w:ascii="Times New Roman" w:eastAsia="Times New Roman" w:hAnsi="Times New Roman" w:cs="Times New Roman"/>
          <w:color w:val="000000"/>
          <w:sz w:val="27"/>
          <w:szCs w:val="27"/>
          <w:lang w:eastAsia="it-IT"/>
        </w:rPr>
        <w:t>ha pronunciato la seguente</w:t>
      </w:r>
    </w:p>
    <w:p w:rsidR="00EE4D9C" w:rsidRPr="00EE4D9C" w:rsidRDefault="00EE4D9C" w:rsidP="00EE4D9C">
      <w:pPr>
        <w:spacing w:before="480" w:after="480" w:line="240" w:lineRule="auto"/>
        <w:ind w:left="567"/>
        <w:jc w:val="center"/>
        <w:rPr>
          <w:rFonts w:ascii="Times New Roman" w:eastAsia="Times New Roman" w:hAnsi="Times New Roman" w:cs="Times New Roman"/>
          <w:b/>
          <w:bCs/>
          <w:color w:val="000000"/>
          <w:sz w:val="27"/>
          <w:szCs w:val="27"/>
          <w:lang w:eastAsia="it-IT"/>
        </w:rPr>
      </w:pPr>
      <w:r w:rsidRPr="00EE4D9C">
        <w:rPr>
          <w:rFonts w:ascii="Times New Roman" w:eastAsia="Times New Roman" w:hAnsi="Times New Roman" w:cs="Times New Roman"/>
          <w:b/>
          <w:bCs/>
          <w:color w:val="000000"/>
          <w:sz w:val="27"/>
          <w:szCs w:val="27"/>
          <w:lang w:eastAsia="it-IT"/>
        </w:rPr>
        <w:t>Sentenza</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1" w:name="point1"/>
      <w:r w:rsidRPr="00EE4D9C">
        <w:rPr>
          <w:rFonts w:ascii="Times New Roman" w:eastAsia="Times New Roman" w:hAnsi="Times New Roman" w:cs="Times New Roman"/>
          <w:color w:val="000000"/>
          <w:sz w:val="27"/>
          <w:szCs w:val="27"/>
          <w:lang w:eastAsia="it-IT"/>
        </w:rPr>
        <w:t>1</w:t>
      </w:r>
      <w:bookmarkEnd w:id="1"/>
      <w:r w:rsidRPr="00EE4D9C">
        <w:rPr>
          <w:rFonts w:ascii="Times New Roman" w:eastAsia="Times New Roman" w:hAnsi="Times New Roman" w:cs="Times New Roman"/>
          <w:color w:val="000000"/>
          <w:sz w:val="27"/>
          <w:szCs w:val="27"/>
          <w:lang w:eastAsia="it-IT"/>
        </w:rPr>
        <w:t xml:space="preserve">        Con la domanda di pronuncia pregiudiziale, il giudice del rinvio chiede alla Corte di precisare la sua giurisprudenza in materia di aggiudicazione di appalti pubblici con affidamento diretto cosiddetto «in </w:t>
      </w:r>
      <w:proofErr w:type="spellStart"/>
      <w:r w:rsidRPr="00EE4D9C">
        <w:rPr>
          <w:rFonts w:ascii="Times New Roman" w:eastAsia="Times New Roman" w:hAnsi="Times New Roman" w:cs="Times New Roman"/>
          <w:color w:val="000000"/>
          <w:sz w:val="27"/>
          <w:szCs w:val="27"/>
          <w:lang w:eastAsia="it-IT"/>
        </w:rPr>
        <w:t>house</w:t>
      </w:r>
      <w:proofErr w:type="spellEnd"/>
      <w:r w:rsidRPr="00EE4D9C">
        <w:rPr>
          <w:rFonts w:ascii="Times New Roman" w:eastAsia="Times New Roman" w:hAnsi="Times New Roman" w:cs="Times New Roman"/>
          <w:color w:val="000000"/>
          <w:sz w:val="27"/>
          <w:szCs w:val="27"/>
          <w:lang w:eastAsia="it-IT"/>
        </w:rPr>
        <w:t>», senza applicazione della direttiva 2004/18/CE del Parlamento europeo e del Consiglio, del 31 marzo 2004, relativa al coordinamento delle procedure di aggiudicazione degli appalti pubblici di lavori, di forniture e di servizi (GU L 134, pag. 114).</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2" w:name="point2"/>
      <w:r w:rsidRPr="00EE4D9C">
        <w:rPr>
          <w:rFonts w:ascii="Times New Roman" w:eastAsia="Times New Roman" w:hAnsi="Times New Roman" w:cs="Times New Roman"/>
          <w:color w:val="000000"/>
          <w:sz w:val="27"/>
          <w:szCs w:val="27"/>
          <w:lang w:eastAsia="it-IT"/>
        </w:rPr>
        <w:t>2</w:t>
      </w:r>
      <w:bookmarkEnd w:id="2"/>
      <w:r w:rsidRPr="00EE4D9C">
        <w:rPr>
          <w:rFonts w:ascii="Times New Roman" w:eastAsia="Times New Roman" w:hAnsi="Times New Roman" w:cs="Times New Roman"/>
          <w:color w:val="000000"/>
          <w:sz w:val="27"/>
          <w:szCs w:val="27"/>
          <w:lang w:eastAsia="it-IT"/>
        </w:rPr>
        <w:t xml:space="preserve">        Tale domanda è stata presentata nell’ambito di una controversia che oppone il Centro </w:t>
      </w:r>
      <w:proofErr w:type="spellStart"/>
      <w:r w:rsidRPr="00EE4D9C">
        <w:rPr>
          <w:rFonts w:ascii="Times New Roman" w:eastAsia="Times New Roman" w:hAnsi="Times New Roman" w:cs="Times New Roman"/>
          <w:color w:val="000000"/>
          <w:sz w:val="27"/>
          <w:szCs w:val="27"/>
          <w:lang w:eastAsia="it-IT"/>
        </w:rPr>
        <w:t>Hospitalar</w:t>
      </w:r>
      <w:proofErr w:type="spellEnd"/>
      <w:r w:rsidRPr="00EE4D9C">
        <w:rPr>
          <w:rFonts w:ascii="Times New Roman" w:eastAsia="Times New Roman" w:hAnsi="Times New Roman" w:cs="Times New Roman"/>
          <w:color w:val="000000"/>
          <w:sz w:val="27"/>
          <w:szCs w:val="27"/>
          <w:lang w:eastAsia="it-IT"/>
        </w:rPr>
        <w:t xml:space="preserve"> de Setúbal EPE (Centro ospedaliero di Setúbal; in prosieguo: il «Centro ospedaliero») e il </w:t>
      </w:r>
      <w:proofErr w:type="spellStart"/>
      <w:r w:rsidRPr="00EE4D9C">
        <w:rPr>
          <w:rFonts w:ascii="Times New Roman" w:eastAsia="Times New Roman" w:hAnsi="Times New Roman" w:cs="Times New Roman"/>
          <w:color w:val="000000"/>
          <w:sz w:val="27"/>
          <w:szCs w:val="27"/>
          <w:lang w:eastAsia="it-IT"/>
        </w:rPr>
        <w:t>Serviço</w:t>
      </w:r>
      <w:proofErr w:type="spellEnd"/>
      <w:r w:rsidRPr="00EE4D9C">
        <w:rPr>
          <w:rFonts w:ascii="Times New Roman" w:eastAsia="Times New Roman" w:hAnsi="Times New Roman" w:cs="Times New Roman"/>
          <w:color w:val="000000"/>
          <w:sz w:val="27"/>
          <w:szCs w:val="27"/>
          <w:lang w:eastAsia="it-IT"/>
        </w:rPr>
        <w:t xml:space="preserve"> de </w:t>
      </w:r>
      <w:proofErr w:type="spellStart"/>
      <w:r w:rsidRPr="00EE4D9C">
        <w:rPr>
          <w:rFonts w:ascii="Times New Roman" w:eastAsia="Times New Roman" w:hAnsi="Times New Roman" w:cs="Times New Roman"/>
          <w:color w:val="000000"/>
          <w:sz w:val="27"/>
          <w:szCs w:val="27"/>
          <w:lang w:eastAsia="it-IT"/>
        </w:rPr>
        <w:t>Utilização</w:t>
      </w:r>
      <w:proofErr w:type="spellEnd"/>
      <w:r w:rsidRPr="00EE4D9C">
        <w:rPr>
          <w:rFonts w:ascii="Times New Roman" w:eastAsia="Times New Roman" w:hAnsi="Times New Roman" w:cs="Times New Roman"/>
          <w:color w:val="000000"/>
          <w:sz w:val="27"/>
          <w:szCs w:val="27"/>
          <w:lang w:eastAsia="it-IT"/>
        </w:rPr>
        <w:t xml:space="preserve"> </w:t>
      </w:r>
      <w:proofErr w:type="spellStart"/>
      <w:r w:rsidRPr="00EE4D9C">
        <w:rPr>
          <w:rFonts w:ascii="Times New Roman" w:eastAsia="Times New Roman" w:hAnsi="Times New Roman" w:cs="Times New Roman"/>
          <w:color w:val="000000"/>
          <w:sz w:val="27"/>
          <w:szCs w:val="27"/>
          <w:lang w:eastAsia="it-IT"/>
        </w:rPr>
        <w:t>Comum</w:t>
      </w:r>
      <w:proofErr w:type="spellEnd"/>
      <w:r w:rsidRPr="00EE4D9C">
        <w:rPr>
          <w:rFonts w:ascii="Times New Roman" w:eastAsia="Times New Roman" w:hAnsi="Times New Roman" w:cs="Times New Roman"/>
          <w:color w:val="000000"/>
          <w:sz w:val="27"/>
          <w:szCs w:val="27"/>
          <w:lang w:eastAsia="it-IT"/>
        </w:rPr>
        <w:t xml:space="preserve"> </w:t>
      </w:r>
      <w:proofErr w:type="spellStart"/>
      <w:r w:rsidRPr="00EE4D9C">
        <w:rPr>
          <w:rFonts w:ascii="Times New Roman" w:eastAsia="Times New Roman" w:hAnsi="Times New Roman" w:cs="Times New Roman"/>
          <w:color w:val="000000"/>
          <w:sz w:val="27"/>
          <w:szCs w:val="27"/>
          <w:lang w:eastAsia="it-IT"/>
        </w:rPr>
        <w:t>dos</w:t>
      </w:r>
      <w:proofErr w:type="spellEnd"/>
      <w:r w:rsidRPr="00EE4D9C">
        <w:rPr>
          <w:rFonts w:ascii="Times New Roman" w:eastAsia="Times New Roman" w:hAnsi="Times New Roman" w:cs="Times New Roman"/>
          <w:color w:val="000000"/>
          <w:sz w:val="27"/>
          <w:szCs w:val="27"/>
          <w:lang w:eastAsia="it-IT"/>
        </w:rPr>
        <w:t xml:space="preserve"> </w:t>
      </w:r>
      <w:proofErr w:type="spellStart"/>
      <w:r w:rsidRPr="00EE4D9C">
        <w:rPr>
          <w:rFonts w:ascii="Times New Roman" w:eastAsia="Times New Roman" w:hAnsi="Times New Roman" w:cs="Times New Roman"/>
          <w:color w:val="000000"/>
          <w:sz w:val="27"/>
          <w:szCs w:val="27"/>
          <w:lang w:eastAsia="it-IT"/>
        </w:rPr>
        <w:t>Hospitais</w:t>
      </w:r>
      <w:proofErr w:type="spellEnd"/>
      <w:r w:rsidRPr="00EE4D9C">
        <w:rPr>
          <w:rFonts w:ascii="Times New Roman" w:eastAsia="Times New Roman" w:hAnsi="Times New Roman" w:cs="Times New Roman"/>
          <w:color w:val="000000"/>
          <w:sz w:val="27"/>
          <w:szCs w:val="27"/>
          <w:lang w:eastAsia="it-IT"/>
        </w:rPr>
        <w:t xml:space="preserve"> (SUCH) (servizio di utilizzazione comune degli ospedali; in prosieguo: il «SUCH») alla </w:t>
      </w:r>
      <w:proofErr w:type="spellStart"/>
      <w:r w:rsidRPr="00EE4D9C">
        <w:rPr>
          <w:rFonts w:ascii="Times New Roman" w:eastAsia="Times New Roman" w:hAnsi="Times New Roman" w:cs="Times New Roman"/>
          <w:color w:val="000000"/>
          <w:sz w:val="27"/>
          <w:szCs w:val="27"/>
          <w:lang w:eastAsia="it-IT"/>
        </w:rPr>
        <w:t>Eurest</w:t>
      </w:r>
      <w:proofErr w:type="spellEnd"/>
      <w:r w:rsidRPr="00EE4D9C">
        <w:rPr>
          <w:rFonts w:ascii="Times New Roman" w:eastAsia="Times New Roman" w:hAnsi="Times New Roman" w:cs="Times New Roman"/>
          <w:color w:val="000000"/>
          <w:sz w:val="27"/>
          <w:szCs w:val="27"/>
          <w:lang w:eastAsia="it-IT"/>
        </w:rPr>
        <w:t xml:space="preserve"> (Portugal) – </w:t>
      </w:r>
      <w:proofErr w:type="spellStart"/>
      <w:r w:rsidRPr="00EE4D9C">
        <w:rPr>
          <w:rFonts w:ascii="Times New Roman" w:eastAsia="Times New Roman" w:hAnsi="Times New Roman" w:cs="Times New Roman"/>
          <w:color w:val="000000"/>
          <w:sz w:val="27"/>
          <w:szCs w:val="27"/>
          <w:lang w:eastAsia="it-IT"/>
        </w:rPr>
        <w:t>Sociedade</w:t>
      </w:r>
      <w:proofErr w:type="spellEnd"/>
      <w:r w:rsidRPr="00EE4D9C">
        <w:rPr>
          <w:rFonts w:ascii="Times New Roman" w:eastAsia="Times New Roman" w:hAnsi="Times New Roman" w:cs="Times New Roman"/>
          <w:color w:val="000000"/>
          <w:sz w:val="27"/>
          <w:szCs w:val="27"/>
          <w:lang w:eastAsia="it-IT"/>
        </w:rPr>
        <w:t xml:space="preserve"> </w:t>
      </w:r>
      <w:proofErr w:type="spellStart"/>
      <w:r w:rsidRPr="00EE4D9C">
        <w:rPr>
          <w:rFonts w:ascii="Times New Roman" w:eastAsia="Times New Roman" w:hAnsi="Times New Roman" w:cs="Times New Roman"/>
          <w:color w:val="000000"/>
          <w:sz w:val="27"/>
          <w:szCs w:val="27"/>
          <w:lang w:eastAsia="it-IT"/>
        </w:rPr>
        <w:t>Europeia</w:t>
      </w:r>
      <w:proofErr w:type="spellEnd"/>
      <w:r w:rsidRPr="00EE4D9C">
        <w:rPr>
          <w:rFonts w:ascii="Times New Roman" w:eastAsia="Times New Roman" w:hAnsi="Times New Roman" w:cs="Times New Roman"/>
          <w:color w:val="000000"/>
          <w:sz w:val="27"/>
          <w:szCs w:val="27"/>
          <w:lang w:eastAsia="it-IT"/>
        </w:rPr>
        <w:t xml:space="preserve"> de </w:t>
      </w:r>
      <w:proofErr w:type="spellStart"/>
      <w:r w:rsidRPr="00EE4D9C">
        <w:rPr>
          <w:rFonts w:ascii="Times New Roman" w:eastAsia="Times New Roman" w:hAnsi="Times New Roman" w:cs="Times New Roman"/>
          <w:color w:val="000000"/>
          <w:sz w:val="27"/>
          <w:szCs w:val="27"/>
          <w:lang w:eastAsia="it-IT"/>
        </w:rPr>
        <w:t>Restaurantes</w:t>
      </w:r>
      <w:proofErr w:type="spellEnd"/>
      <w:r w:rsidRPr="00EE4D9C">
        <w:rPr>
          <w:rFonts w:ascii="Times New Roman" w:eastAsia="Times New Roman" w:hAnsi="Times New Roman" w:cs="Times New Roman"/>
          <w:color w:val="000000"/>
          <w:sz w:val="27"/>
          <w:szCs w:val="27"/>
          <w:lang w:eastAsia="it-IT"/>
        </w:rPr>
        <w:t xml:space="preserve"> </w:t>
      </w:r>
      <w:proofErr w:type="spellStart"/>
      <w:r w:rsidRPr="00EE4D9C">
        <w:rPr>
          <w:rFonts w:ascii="Times New Roman" w:eastAsia="Times New Roman" w:hAnsi="Times New Roman" w:cs="Times New Roman"/>
          <w:color w:val="000000"/>
          <w:sz w:val="27"/>
          <w:szCs w:val="27"/>
          <w:lang w:eastAsia="it-IT"/>
        </w:rPr>
        <w:t>Lda</w:t>
      </w:r>
      <w:proofErr w:type="spellEnd"/>
      <w:r w:rsidRPr="00EE4D9C">
        <w:rPr>
          <w:rFonts w:ascii="Times New Roman" w:eastAsia="Times New Roman" w:hAnsi="Times New Roman" w:cs="Times New Roman"/>
          <w:color w:val="000000"/>
          <w:sz w:val="27"/>
          <w:szCs w:val="27"/>
          <w:lang w:eastAsia="it-IT"/>
        </w:rPr>
        <w:t xml:space="preserve"> (in prosieguo: la «</w:t>
      </w:r>
      <w:proofErr w:type="spellStart"/>
      <w:r w:rsidRPr="00EE4D9C">
        <w:rPr>
          <w:rFonts w:ascii="Times New Roman" w:eastAsia="Times New Roman" w:hAnsi="Times New Roman" w:cs="Times New Roman"/>
          <w:color w:val="000000"/>
          <w:sz w:val="27"/>
          <w:szCs w:val="27"/>
          <w:lang w:eastAsia="it-IT"/>
        </w:rPr>
        <w:t>Eurest</w:t>
      </w:r>
      <w:proofErr w:type="spellEnd"/>
      <w:r w:rsidRPr="00EE4D9C">
        <w:rPr>
          <w:rFonts w:ascii="Times New Roman" w:eastAsia="Times New Roman" w:hAnsi="Times New Roman" w:cs="Times New Roman"/>
          <w:color w:val="000000"/>
          <w:sz w:val="27"/>
          <w:szCs w:val="27"/>
          <w:lang w:eastAsia="it-IT"/>
        </w:rPr>
        <w:t>»), in merito all’aggiudicazione di un appalto pubblico attribuito direttamente dal Centro ospedaliero al SUCH.</w:t>
      </w:r>
    </w:p>
    <w:p w:rsidR="00EE4D9C" w:rsidRPr="00EE4D9C" w:rsidRDefault="00EE4D9C" w:rsidP="00EE4D9C">
      <w:pPr>
        <w:spacing w:before="480" w:after="240" w:line="240" w:lineRule="auto"/>
        <w:ind w:left="567"/>
        <w:jc w:val="both"/>
        <w:rPr>
          <w:rFonts w:ascii="Times New Roman" w:eastAsia="Times New Roman" w:hAnsi="Times New Roman" w:cs="Times New Roman"/>
          <w:b/>
          <w:bCs/>
          <w:color w:val="000000"/>
          <w:sz w:val="27"/>
          <w:szCs w:val="27"/>
          <w:lang w:eastAsia="it-IT"/>
        </w:rPr>
      </w:pPr>
      <w:r w:rsidRPr="00EE4D9C">
        <w:rPr>
          <w:rFonts w:ascii="Times New Roman" w:eastAsia="Times New Roman" w:hAnsi="Times New Roman" w:cs="Times New Roman"/>
          <w:b/>
          <w:bCs/>
          <w:color w:val="000000"/>
          <w:sz w:val="27"/>
          <w:szCs w:val="27"/>
          <w:lang w:eastAsia="it-IT"/>
        </w:rPr>
        <w:t> Contesto normativo</w:t>
      </w:r>
    </w:p>
    <w:p w:rsidR="00EE4D9C" w:rsidRPr="00EE4D9C" w:rsidRDefault="00EE4D9C" w:rsidP="00EE4D9C">
      <w:pPr>
        <w:spacing w:after="240" w:line="240" w:lineRule="auto"/>
        <w:ind w:left="567"/>
        <w:jc w:val="both"/>
        <w:rPr>
          <w:rFonts w:ascii="Times New Roman" w:eastAsia="Times New Roman" w:hAnsi="Times New Roman" w:cs="Times New Roman"/>
          <w:i/>
          <w:iCs/>
          <w:color w:val="000000"/>
          <w:sz w:val="27"/>
          <w:szCs w:val="27"/>
          <w:lang w:eastAsia="it-IT"/>
        </w:rPr>
      </w:pPr>
      <w:r w:rsidRPr="00EE4D9C">
        <w:rPr>
          <w:rFonts w:ascii="Times New Roman" w:eastAsia="Times New Roman" w:hAnsi="Times New Roman" w:cs="Times New Roman"/>
          <w:i/>
          <w:iCs/>
          <w:color w:val="000000"/>
          <w:sz w:val="27"/>
          <w:szCs w:val="27"/>
          <w:lang w:eastAsia="it-IT"/>
        </w:rPr>
        <w:t> Il diritto dell’Unione</w:t>
      </w:r>
    </w:p>
    <w:p w:rsidR="00EE4D9C" w:rsidRPr="00EE4D9C" w:rsidRDefault="00EE4D9C" w:rsidP="00EE4D9C">
      <w:pPr>
        <w:spacing w:after="240" w:line="240" w:lineRule="auto"/>
        <w:ind w:left="567"/>
        <w:jc w:val="both"/>
        <w:rPr>
          <w:rFonts w:ascii="Times New Roman" w:eastAsia="Times New Roman" w:hAnsi="Times New Roman" w:cs="Times New Roman"/>
          <w:color w:val="000000"/>
          <w:sz w:val="27"/>
          <w:szCs w:val="27"/>
          <w:lang w:eastAsia="it-IT"/>
        </w:rPr>
      </w:pPr>
      <w:r w:rsidRPr="00EE4D9C">
        <w:rPr>
          <w:rFonts w:ascii="Times New Roman" w:eastAsia="Times New Roman" w:hAnsi="Times New Roman" w:cs="Times New Roman"/>
          <w:color w:val="000000"/>
          <w:sz w:val="27"/>
          <w:szCs w:val="27"/>
          <w:lang w:eastAsia="it-IT"/>
        </w:rPr>
        <w:t> La direttiva 2004/18</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3" w:name="point3"/>
      <w:r w:rsidRPr="00EE4D9C">
        <w:rPr>
          <w:rFonts w:ascii="Times New Roman" w:eastAsia="Times New Roman" w:hAnsi="Times New Roman" w:cs="Times New Roman"/>
          <w:color w:val="000000"/>
          <w:sz w:val="27"/>
          <w:szCs w:val="27"/>
          <w:lang w:eastAsia="it-IT"/>
        </w:rPr>
        <w:t>3</w:t>
      </w:r>
      <w:bookmarkEnd w:id="3"/>
      <w:r w:rsidRPr="00EE4D9C">
        <w:rPr>
          <w:rFonts w:ascii="Times New Roman" w:eastAsia="Times New Roman" w:hAnsi="Times New Roman" w:cs="Times New Roman"/>
          <w:color w:val="000000"/>
          <w:sz w:val="27"/>
          <w:szCs w:val="27"/>
          <w:lang w:eastAsia="it-IT"/>
        </w:rPr>
        <w:t>        La direttiva 2004/18 definisce il contesto normativo applicabile agli appalti pubblici assegnati dalle amministrazioni aggiudicatrici.</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4" w:name="point4"/>
      <w:r w:rsidRPr="00EE4D9C">
        <w:rPr>
          <w:rFonts w:ascii="Times New Roman" w:eastAsia="Times New Roman" w:hAnsi="Times New Roman" w:cs="Times New Roman"/>
          <w:color w:val="000000"/>
          <w:sz w:val="27"/>
          <w:szCs w:val="27"/>
          <w:lang w:eastAsia="it-IT"/>
        </w:rPr>
        <w:lastRenderedPageBreak/>
        <w:t>4</w:t>
      </w:r>
      <w:bookmarkEnd w:id="4"/>
      <w:r w:rsidRPr="00EE4D9C">
        <w:rPr>
          <w:rFonts w:ascii="Times New Roman" w:eastAsia="Times New Roman" w:hAnsi="Times New Roman" w:cs="Times New Roman"/>
          <w:color w:val="000000"/>
          <w:sz w:val="27"/>
          <w:szCs w:val="27"/>
          <w:lang w:eastAsia="it-IT"/>
        </w:rPr>
        <w:t>        Il considerando 4 di detta direttiva così recita:</w:t>
      </w:r>
    </w:p>
    <w:p w:rsidR="00EE4D9C" w:rsidRPr="00EE4D9C" w:rsidRDefault="00EE4D9C" w:rsidP="00EE4D9C">
      <w:pPr>
        <w:spacing w:after="240" w:line="240" w:lineRule="auto"/>
        <w:ind w:left="567"/>
        <w:jc w:val="both"/>
        <w:rPr>
          <w:rFonts w:ascii="Times New Roman" w:eastAsia="Times New Roman" w:hAnsi="Times New Roman" w:cs="Times New Roman"/>
          <w:color w:val="000000"/>
          <w:sz w:val="27"/>
          <w:szCs w:val="27"/>
          <w:lang w:eastAsia="it-IT"/>
        </w:rPr>
      </w:pPr>
      <w:r w:rsidRPr="00EE4D9C">
        <w:rPr>
          <w:rFonts w:ascii="Times New Roman" w:eastAsia="Times New Roman" w:hAnsi="Times New Roman" w:cs="Times New Roman"/>
          <w:color w:val="000000"/>
          <w:sz w:val="27"/>
          <w:szCs w:val="27"/>
          <w:lang w:eastAsia="it-IT"/>
        </w:rPr>
        <w:t>«Gli Stati membri dovrebbero provvedere affinché la partecipazione di un offerente che è un organismo di diritto pubblico a una procedura di aggiudicazione di appalto pubblico non causi distorsioni della concorrenza nei confronti di offerenti privati».</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5" w:name="point5"/>
      <w:r w:rsidRPr="00EE4D9C">
        <w:rPr>
          <w:rFonts w:ascii="Times New Roman" w:eastAsia="Times New Roman" w:hAnsi="Times New Roman" w:cs="Times New Roman"/>
          <w:color w:val="000000"/>
          <w:sz w:val="27"/>
          <w:szCs w:val="27"/>
          <w:lang w:eastAsia="it-IT"/>
        </w:rPr>
        <w:t>5</w:t>
      </w:r>
      <w:bookmarkEnd w:id="5"/>
      <w:r w:rsidRPr="00EE4D9C">
        <w:rPr>
          <w:rFonts w:ascii="Times New Roman" w:eastAsia="Times New Roman" w:hAnsi="Times New Roman" w:cs="Times New Roman"/>
          <w:color w:val="000000"/>
          <w:sz w:val="27"/>
          <w:szCs w:val="27"/>
          <w:lang w:eastAsia="it-IT"/>
        </w:rPr>
        <w:t>        L’articolo 1 della direttiva medesima, rubricato «Definizioni», dispone al paragrafo 2, lettera a), quanto segue:</w:t>
      </w:r>
    </w:p>
    <w:p w:rsidR="00EE4D9C" w:rsidRPr="00EE4D9C" w:rsidRDefault="00EE4D9C" w:rsidP="00EE4D9C">
      <w:pPr>
        <w:spacing w:after="240" w:line="240" w:lineRule="auto"/>
        <w:ind w:left="567"/>
        <w:jc w:val="both"/>
        <w:rPr>
          <w:rFonts w:ascii="Times New Roman" w:eastAsia="Times New Roman" w:hAnsi="Times New Roman" w:cs="Times New Roman"/>
          <w:color w:val="000000"/>
          <w:sz w:val="27"/>
          <w:szCs w:val="27"/>
          <w:lang w:eastAsia="it-IT"/>
        </w:rPr>
      </w:pPr>
      <w:r w:rsidRPr="00EE4D9C">
        <w:rPr>
          <w:rFonts w:ascii="Times New Roman" w:eastAsia="Times New Roman" w:hAnsi="Times New Roman" w:cs="Times New Roman"/>
          <w:color w:val="000000"/>
          <w:sz w:val="27"/>
          <w:szCs w:val="27"/>
          <w:lang w:eastAsia="it-IT"/>
        </w:rPr>
        <w:t>«Gli “appalti pubblici” sono contratti a titolo oneroso stipulati per iscritto tra uno o più operatori economici e una o più amministrazioni aggiudicatrici aventi per oggetto l’esecuzione di lavori, la fornitura di prodotti o la prestazione di servizi ai sensi della presente direttiva».</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6" w:name="point6"/>
      <w:r w:rsidRPr="00EE4D9C">
        <w:rPr>
          <w:rFonts w:ascii="Times New Roman" w:eastAsia="Times New Roman" w:hAnsi="Times New Roman" w:cs="Times New Roman"/>
          <w:color w:val="000000"/>
          <w:sz w:val="27"/>
          <w:szCs w:val="27"/>
          <w:lang w:eastAsia="it-IT"/>
        </w:rPr>
        <w:t>6</w:t>
      </w:r>
      <w:bookmarkEnd w:id="6"/>
      <w:r w:rsidRPr="00EE4D9C">
        <w:rPr>
          <w:rFonts w:ascii="Times New Roman" w:eastAsia="Times New Roman" w:hAnsi="Times New Roman" w:cs="Times New Roman"/>
          <w:color w:val="000000"/>
          <w:sz w:val="27"/>
          <w:szCs w:val="27"/>
          <w:lang w:eastAsia="it-IT"/>
        </w:rPr>
        <w:t>        La direttiva suddetta dispone, all’articolo 1, paragrafo 8, quanto segue:</w:t>
      </w:r>
    </w:p>
    <w:p w:rsidR="00EE4D9C" w:rsidRPr="00EE4D9C" w:rsidRDefault="00EE4D9C" w:rsidP="00EE4D9C">
      <w:pPr>
        <w:spacing w:after="240" w:line="240" w:lineRule="auto"/>
        <w:ind w:left="567"/>
        <w:jc w:val="both"/>
        <w:rPr>
          <w:rFonts w:ascii="Times New Roman" w:eastAsia="Times New Roman" w:hAnsi="Times New Roman" w:cs="Times New Roman"/>
          <w:color w:val="000000"/>
          <w:sz w:val="27"/>
          <w:szCs w:val="27"/>
          <w:lang w:eastAsia="it-IT"/>
        </w:rPr>
      </w:pPr>
      <w:r w:rsidRPr="00EE4D9C">
        <w:rPr>
          <w:rFonts w:ascii="Times New Roman" w:eastAsia="Times New Roman" w:hAnsi="Times New Roman" w:cs="Times New Roman"/>
          <w:color w:val="000000"/>
          <w:sz w:val="27"/>
          <w:szCs w:val="27"/>
          <w:lang w:eastAsia="it-IT"/>
        </w:rPr>
        <w:t>«I termini “imprenditore”, “fornitore” e “prestatore di servizi” designano una persona fisica o giuridica o un ente pubblico o un raggruppamento di tali persone e/o enti che offra sul mercato, rispettivamente, la realizzazione di lavori e/o opere, prodotti o servizi.</w:t>
      </w:r>
    </w:p>
    <w:p w:rsidR="00EE4D9C" w:rsidRPr="00EE4D9C" w:rsidRDefault="00EE4D9C" w:rsidP="00EE4D9C">
      <w:pPr>
        <w:spacing w:after="240" w:line="240" w:lineRule="auto"/>
        <w:ind w:left="567"/>
        <w:jc w:val="both"/>
        <w:rPr>
          <w:rFonts w:ascii="Times New Roman" w:eastAsia="Times New Roman" w:hAnsi="Times New Roman" w:cs="Times New Roman"/>
          <w:color w:val="000000"/>
          <w:sz w:val="27"/>
          <w:szCs w:val="27"/>
          <w:lang w:eastAsia="it-IT"/>
        </w:rPr>
      </w:pPr>
      <w:r w:rsidRPr="00EE4D9C">
        <w:rPr>
          <w:rFonts w:ascii="Times New Roman" w:eastAsia="Times New Roman" w:hAnsi="Times New Roman" w:cs="Times New Roman"/>
          <w:color w:val="000000"/>
          <w:sz w:val="27"/>
          <w:szCs w:val="27"/>
          <w:lang w:eastAsia="it-IT"/>
        </w:rPr>
        <w:t>Il termine “operatore economico” comprende l’imprenditore, il fornitore, il prestatore di servizi. È utilizzato unicamente per semplificare il testo.</w:t>
      </w:r>
    </w:p>
    <w:p w:rsidR="00EE4D9C" w:rsidRPr="00EE4D9C" w:rsidRDefault="00EE4D9C" w:rsidP="00EE4D9C">
      <w:pPr>
        <w:spacing w:after="240" w:line="240" w:lineRule="auto"/>
        <w:ind w:left="567"/>
        <w:jc w:val="both"/>
        <w:rPr>
          <w:rFonts w:ascii="Times New Roman" w:eastAsia="Times New Roman" w:hAnsi="Times New Roman" w:cs="Times New Roman"/>
          <w:color w:val="000000"/>
          <w:sz w:val="27"/>
          <w:szCs w:val="27"/>
          <w:lang w:eastAsia="it-IT"/>
        </w:rPr>
      </w:pPr>
      <w:r w:rsidRPr="00EE4D9C">
        <w:rPr>
          <w:rFonts w:ascii="Times New Roman" w:eastAsia="Times New Roman" w:hAnsi="Times New Roman" w:cs="Times New Roman"/>
          <w:color w:val="000000"/>
          <w:sz w:val="27"/>
          <w:szCs w:val="27"/>
          <w:lang w:eastAsia="it-IT"/>
        </w:rPr>
        <w:t>(…)».</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7" w:name="point7"/>
      <w:r w:rsidRPr="00EE4D9C">
        <w:rPr>
          <w:rFonts w:ascii="Times New Roman" w:eastAsia="Times New Roman" w:hAnsi="Times New Roman" w:cs="Times New Roman"/>
          <w:color w:val="000000"/>
          <w:sz w:val="27"/>
          <w:szCs w:val="27"/>
          <w:lang w:eastAsia="it-IT"/>
        </w:rPr>
        <w:t>7</w:t>
      </w:r>
      <w:bookmarkEnd w:id="7"/>
      <w:r w:rsidRPr="00EE4D9C">
        <w:rPr>
          <w:rFonts w:ascii="Times New Roman" w:eastAsia="Times New Roman" w:hAnsi="Times New Roman" w:cs="Times New Roman"/>
          <w:color w:val="000000"/>
          <w:sz w:val="27"/>
          <w:szCs w:val="27"/>
          <w:lang w:eastAsia="it-IT"/>
        </w:rPr>
        <w:t>        L’articolo 1, paragrafo 9, della direttiva 2004/18 definisce in dettaglio gli enti che sono considerati amministrazioni aggiudicatrici e che, nella conclusione di un contratto a titolo oneroso con un operatore economico, devono avviare una procedura di aggiudicazione dell’appalto secondo le norme della direttiva 2004/18.</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8" w:name="point8"/>
      <w:r w:rsidRPr="00EE4D9C">
        <w:rPr>
          <w:rFonts w:ascii="Times New Roman" w:eastAsia="Times New Roman" w:hAnsi="Times New Roman" w:cs="Times New Roman"/>
          <w:color w:val="000000"/>
          <w:sz w:val="27"/>
          <w:szCs w:val="27"/>
          <w:lang w:eastAsia="it-IT"/>
        </w:rPr>
        <w:t>8</w:t>
      </w:r>
      <w:bookmarkEnd w:id="8"/>
      <w:r w:rsidRPr="00EE4D9C">
        <w:rPr>
          <w:rFonts w:ascii="Times New Roman" w:eastAsia="Times New Roman" w:hAnsi="Times New Roman" w:cs="Times New Roman"/>
          <w:color w:val="000000"/>
          <w:sz w:val="27"/>
          <w:szCs w:val="27"/>
          <w:lang w:eastAsia="it-IT"/>
        </w:rPr>
        <w:t>        L’articolo 7 della direttiva 2004/18, intitolato «Importi delle soglie degli appalti pubblici», fissa le soglie dei valori stimati a partire dalle quali l’aggiudicazione di un appalto deve essere effettuata conformemente alle norme della medesima direttiva. Tali soglie sono modificate ad intervalli regolari da regolamenti della Commissione e adattate alle circostanze economiche. Alla data dei fatti del procedimento principale, la soglia concernente gli appalti di forniture assegnati da amministrazioni aggiudicatrici diverse dalle autorità governative centrali era fissata a EUR 193 000 dal regolamento (CE) n. 1177/2009 della Commissione, del 30 novembre 2009 (GU L 314, pag. 64).</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9" w:name="point9"/>
      <w:r w:rsidRPr="00EE4D9C">
        <w:rPr>
          <w:rFonts w:ascii="Times New Roman" w:eastAsia="Times New Roman" w:hAnsi="Times New Roman" w:cs="Times New Roman"/>
          <w:color w:val="000000"/>
          <w:sz w:val="27"/>
          <w:szCs w:val="27"/>
          <w:lang w:eastAsia="it-IT"/>
        </w:rPr>
        <w:t>9</w:t>
      </w:r>
      <w:bookmarkEnd w:id="9"/>
      <w:r w:rsidRPr="00EE4D9C">
        <w:rPr>
          <w:rFonts w:ascii="Times New Roman" w:eastAsia="Times New Roman" w:hAnsi="Times New Roman" w:cs="Times New Roman"/>
          <w:color w:val="000000"/>
          <w:sz w:val="27"/>
          <w:szCs w:val="27"/>
          <w:lang w:eastAsia="it-IT"/>
        </w:rPr>
        <w:t>        L’articolo 20 della direttiva 2004/18, compreso nel capo III, intitolato «Norme applicabili agli appalti pubblici di servizi», così recita:</w:t>
      </w:r>
    </w:p>
    <w:p w:rsidR="00EE4D9C" w:rsidRPr="00EE4D9C" w:rsidRDefault="00EE4D9C" w:rsidP="00EE4D9C">
      <w:pPr>
        <w:spacing w:after="240" w:line="240" w:lineRule="auto"/>
        <w:ind w:left="567"/>
        <w:jc w:val="both"/>
        <w:rPr>
          <w:rFonts w:ascii="Times New Roman" w:eastAsia="Times New Roman" w:hAnsi="Times New Roman" w:cs="Times New Roman"/>
          <w:color w:val="000000"/>
          <w:sz w:val="27"/>
          <w:szCs w:val="27"/>
          <w:lang w:eastAsia="it-IT"/>
        </w:rPr>
      </w:pPr>
      <w:r w:rsidRPr="00EE4D9C">
        <w:rPr>
          <w:rFonts w:ascii="Times New Roman" w:eastAsia="Times New Roman" w:hAnsi="Times New Roman" w:cs="Times New Roman"/>
          <w:color w:val="000000"/>
          <w:sz w:val="27"/>
          <w:szCs w:val="27"/>
          <w:lang w:eastAsia="it-IT"/>
        </w:rPr>
        <w:t>«Gli appalti aventi per oggetto i servizi elencati nell’allegato II A sono aggiudicati secondo gli articoli da 23 a 55».</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10" w:name="point10"/>
      <w:r w:rsidRPr="00EE4D9C">
        <w:rPr>
          <w:rFonts w:ascii="Times New Roman" w:eastAsia="Times New Roman" w:hAnsi="Times New Roman" w:cs="Times New Roman"/>
          <w:color w:val="000000"/>
          <w:sz w:val="27"/>
          <w:szCs w:val="27"/>
          <w:lang w:eastAsia="it-IT"/>
        </w:rPr>
        <w:lastRenderedPageBreak/>
        <w:t>10</w:t>
      </w:r>
      <w:bookmarkEnd w:id="10"/>
      <w:r w:rsidRPr="00EE4D9C">
        <w:rPr>
          <w:rFonts w:ascii="Times New Roman" w:eastAsia="Times New Roman" w:hAnsi="Times New Roman" w:cs="Times New Roman"/>
          <w:color w:val="000000"/>
          <w:sz w:val="27"/>
          <w:szCs w:val="27"/>
          <w:lang w:eastAsia="it-IT"/>
        </w:rPr>
        <w:t>      Ai sensi dell’articolo 21 di detta direttiva, che rientra nel capo III della medesima direttiva:</w:t>
      </w:r>
    </w:p>
    <w:p w:rsidR="00EE4D9C" w:rsidRPr="00EE4D9C" w:rsidRDefault="00EE4D9C" w:rsidP="00EE4D9C">
      <w:pPr>
        <w:spacing w:after="240" w:line="240" w:lineRule="auto"/>
        <w:ind w:left="567"/>
        <w:jc w:val="both"/>
        <w:rPr>
          <w:rFonts w:ascii="Times New Roman" w:eastAsia="Times New Roman" w:hAnsi="Times New Roman" w:cs="Times New Roman"/>
          <w:color w:val="000000"/>
          <w:sz w:val="27"/>
          <w:szCs w:val="27"/>
          <w:lang w:eastAsia="it-IT"/>
        </w:rPr>
      </w:pPr>
      <w:r w:rsidRPr="00EE4D9C">
        <w:rPr>
          <w:rFonts w:ascii="Times New Roman" w:eastAsia="Times New Roman" w:hAnsi="Times New Roman" w:cs="Times New Roman"/>
          <w:color w:val="000000"/>
          <w:sz w:val="27"/>
          <w:szCs w:val="27"/>
          <w:lang w:eastAsia="it-IT"/>
        </w:rPr>
        <w:t>«L’aggiudicazione degli appalti aventi per oggetto i servizi elencati nell’allegato II B è disciplinata esclusivamente dall’articolo 23 e dall’articolo 35, paragrafo 4».</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11" w:name="point11"/>
      <w:r w:rsidRPr="00EE4D9C">
        <w:rPr>
          <w:rFonts w:ascii="Times New Roman" w:eastAsia="Times New Roman" w:hAnsi="Times New Roman" w:cs="Times New Roman"/>
          <w:color w:val="000000"/>
          <w:sz w:val="27"/>
          <w:szCs w:val="27"/>
          <w:lang w:eastAsia="it-IT"/>
        </w:rPr>
        <w:t>11</w:t>
      </w:r>
      <w:bookmarkEnd w:id="11"/>
      <w:r w:rsidRPr="00EE4D9C">
        <w:rPr>
          <w:rFonts w:ascii="Times New Roman" w:eastAsia="Times New Roman" w:hAnsi="Times New Roman" w:cs="Times New Roman"/>
          <w:color w:val="000000"/>
          <w:sz w:val="27"/>
          <w:szCs w:val="27"/>
          <w:lang w:eastAsia="it-IT"/>
        </w:rPr>
        <w:t>      L’allegato II B della direttiva 2004/18, alla categoria 17, comprende i «Servizi alberghieri e di ristorazione».</w:t>
      </w:r>
    </w:p>
    <w:p w:rsidR="00EE4D9C" w:rsidRPr="00EE4D9C" w:rsidRDefault="00EE4D9C" w:rsidP="00EE4D9C">
      <w:pPr>
        <w:spacing w:after="240" w:line="240" w:lineRule="auto"/>
        <w:ind w:left="567"/>
        <w:jc w:val="both"/>
        <w:rPr>
          <w:rFonts w:ascii="Times New Roman" w:eastAsia="Times New Roman" w:hAnsi="Times New Roman" w:cs="Times New Roman"/>
          <w:color w:val="000000"/>
          <w:sz w:val="27"/>
          <w:szCs w:val="27"/>
          <w:lang w:eastAsia="it-IT"/>
        </w:rPr>
      </w:pPr>
      <w:r w:rsidRPr="00EE4D9C">
        <w:rPr>
          <w:rFonts w:ascii="Times New Roman" w:eastAsia="Times New Roman" w:hAnsi="Times New Roman" w:cs="Times New Roman"/>
          <w:color w:val="000000"/>
          <w:sz w:val="27"/>
          <w:szCs w:val="27"/>
          <w:lang w:eastAsia="it-IT"/>
        </w:rPr>
        <w:t xml:space="preserve"> L’aggiudicazione di un appalto pubblico senza applicare le procedure stabilite dalla direttiva 2004/18 – Il cosiddetto affidamento «in </w:t>
      </w:r>
      <w:proofErr w:type="spellStart"/>
      <w:r w:rsidRPr="00EE4D9C">
        <w:rPr>
          <w:rFonts w:ascii="Times New Roman" w:eastAsia="Times New Roman" w:hAnsi="Times New Roman" w:cs="Times New Roman"/>
          <w:color w:val="000000"/>
          <w:sz w:val="27"/>
          <w:szCs w:val="27"/>
          <w:lang w:eastAsia="it-IT"/>
        </w:rPr>
        <w:t>house</w:t>
      </w:r>
      <w:proofErr w:type="spellEnd"/>
      <w:r w:rsidRPr="00EE4D9C">
        <w:rPr>
          <w:rFonts w:ascii="Times New Roman" w:eastAsia="Times New Roman" w:hAnsi="Times New Roman" w:cs="Times New Roman"/>
          <w:color w:val="000000"/>
          <w:sz w:val="27"/>
          <w:szCs w:val="27"/>
          <w:lang w:eastAsia="it-IT"/>
        </w:rPr>
        <w:t>»</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12" w:name="point12"/>
      <w:r w:rsidRPr="00EE4D9C">
        <w:rPr>
          <w:rFonts w:ascii="Times New Roman" w:eastAsia="Times New Roman" w:hAnsi="Times New Roman" w:cs="Times New Roman"/>
          <w:color w:val="000000"/>
          <w:sz w:val="27"/>
          <w:szCs w:val="27"/>
          <w:lang w:eastAsia="it-IT"/>
        </w:rPr>
        <w:t>12</w:t>
      </w:r>
      <w:bookmarkEnd w:id="12"/>
      <w:r w:rsidRPr="00EE4D9C">
        <w:rPr>
          <w:rFonts w:ascii="Times New Roman" w:eastAsia="Times New Roman" w:hAnsi="Times New Roman" w:cs="Times New Roman"/>
          <w:color w:val="000000"/>
          <w:sz w:val="27"/>
          <w:szCs w:val="27"/>
          <w:lang w:eastAsia="it-IT"/>
        </w:rPr>
        <w:t xml:space="preserve">      Le condizioni di una siffatta aggiudicazione sono state definite e formulate dalla giurisprudenza della Corte, che ha affermato che la gara d’appalto mediante l’avvio di una procedura ai sensi della direttiva 2004/18 non è obbligatoria nel caso in cui, nel contempo, l’amministrazione aggiudicatrice eserciti su un soggetto da essa giuridicamente distinto un controllo analogo a quello esercitato su un proprio servizio e questo soggetto realizzi la parte più importante della propria attività con l’amministrazione o con le amministrazioni aggiudicatrici che lo controllano (v., in tal senso, sentenza </w:t>
      </w:r>
      <w:proofErr w:type="spellStart"/>
      <w:r w:rsidRPr="00EE4D9C">
        <w:rPr>
          <w:rFonts w:ascii="Times New Roman" w:eastAsia="Times New Roman" w:hAnsi="Times New Roman" w:cs="Times New Roman"/>
          <w:color w:val="000000"/>
          <w:sz w:val="27"/>
          <w:szCs w:val="27"/>
          <w:lang w:eastAsia="it-IT"/>
        </w:rPr>
        <w:t>Teckal</w:t>
      </w:r>
      <w:proofErr w:type="spellEnd"/>
      <w:r w:rsidRPr="00EE4D9C">
        <w:rPr>
          <w:rFonts w:ascii="Times New Roman" w:eastAsia="Times New Roman" w:hAnsi="Times New Roman" w:cs="Times New Roman"/>
          <w:color w:val="000000"/>
          <w:sz w:val="27"/>
          <w:szCs w:val="27"/>
          <w:lang w:eastAsia="it-IT"/>
        </w:rPr>
        <w:t>, C</w:t>
      </w:r>
      <w:r w:rsidRPr="00EE4D9C">
        <w:rPr>
          <w:rFonts w:ascii="Times New Roman" w:eastAsia="Times New Roman" w:hAnsi="Times New Roman" w:cs="Times New Roman"/>
          <w:color w:val="000000"/>
          <w:sz w:val="27"/>
          <w:szCs w:val="27"/>
          <w:lang w:eastAsia="it-IT"/>
        </w:rPr>
        <w:noBreakHyphen/>
        <w:t>107/98, EU:C:1999:562, punto 50).</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13" w:name="point13"/>
      <w:r w:rsidRPr="00EE4D9C">
        <w:rPr>
          <w:rFonts w:ascii="Times New Roman" w:eastAsia="Times New Roman" w:hAnsi="Times New Roman" w:cs="Times New Roman"/>
          <w:color w:val="000000"/>
          <w:sz w:val="27"/>
          <w:szCs w:val="27"/>
          <w:lang w:eastAsia="it-IT"/>
        </w:rPr>
        <w:t>13</w:t>
      </w:r>
      <w:bookmarkEnd w:id="13"/>
      <w:r w:rsidRPr="00EE4D9C">
        <w:rPr>
          <w:rFonts w:ascii="Times New Roman" w:eastAsia="Times New Roman" w:hAnsi="Times New Roman" w:cs="Times New Roman"/>
          <w:color w:val="000000"/>
          <w:sz w:val="27"/>
          <w:szCs w:val="27"/>
          <w:lang w:eastAsia="it-IT"/>
        </w:rPr>
        <w:t xml:space="preserve">      La Corte ha altresì dichiarato che la partecipazione, anche minoritaria, di un’impresa privata al capitale di una società alla quale partecipi anche l’amministrazione aggiudicatrice in questione esclude in ogni caso che tale amministrazione possa esercitare sulla detta società un controllo analogo a quello che essa esercita sui propri servizi, poiché qualunque investimento di capitale privato in un’impresa obbedisce a considerazioni proprie degli interessi privati e persegue obiettivi di natura differente rispetto a quelli di interesse pubblico (v. sentenza </w:t>
      </w:r>
      <w:proofErr w:type="spellStart"/>
      <w:r w:rsidRPr="00EE4D9C">
        <w:rPr>
          <w:rFonts w:ascii="Times New Roman" w:eastAsia="Times New Roman" w:hAnsi="Times New Roman" w:cs="Times New Roman"/>
          <w:color w:val="000000"/>
          <w:sz w:val="27"/>
          <w:szCs w:val="27"/>
          <w:lang w:eastAsia="it-IT"/>
        </w:rPr>
        <w:t>Stadt</w:t>
      </w:r>
      <w:proofErr w:type="spellEnd"/>
      <w:r w:rsidRPr="00EE4D9C">
        <w:rPr>
          <w:rFonts w:ascii="Times New Roman" w:eastAsia="Times New Roman" w:hAnsi="Times New Roman" w:cs="Times New Roman"/>
          <w:color w:val="000000"/>
          <w:sz w:val="27"/>
          <w:szCs w:val="27"/>
          <w:lang w:eastAsia="it-IT"/>
        </w:rPr>
        <w:t xml:space="preserve"> Halle e RPL </w:t>
      </w:r>
      <w:proofErr w:type="spellStart"/>
      <w:r w:rsidRPr="00EE4D9C">
        <w:rPr>
          <w:rFonts w:ascii="Times New Roman" w:eastAsia="Times New Roman" w:hAnsi="Times New Roman" w:cs="Times New Roman"/>
          <w:color w:val="000000"/>
          <w:sz w:val="27"/>
          <w:szCs w:val="27"/>
          <w:lang w:eastAsia="it-IT"/>
        </w:rPr>
        <w:t>Lochau</w:t>
      </w:r>
      <w:proofErr w:type="spellEnd"/>
      <w:r w:rsidRPr="00EE4D9C">
        <w:rPr>
          <w:rFonts w:ascii="Times New Roman" w:eastAsia="Times New Roman" w:hAnsi="Times New Roman" w:cs="Times New Roman"/>
          <w:color w:val="000000"/>
          <w:sz w:val="27"/>
          <w:szCs w:val="27"/>
          <w:lang w:eastAsia="it-IT"/>
        </w:rPr>
        <w:t>, C</w:t>
      </w:r>
      <w:r w:rsidRPr="00EE4D9C">
        <w:rPr>
          <w:rFonts w:ascii="Times New Roman" w:eastAsia="Times New Roman" w:hAnsi="Times New Roman" w:cs="Times New Roman"/>
          <w:color w:val="000000"/>
          <w:sz w:val="27"/>
          <w:szCs w:val="27"/>
          <w:lang w:eastAsia="it-IT"/>
        </w:rPr>
        <w:noBreakHyphen/>
        <w:t>26/03, EU:C:2005:5, punti 49 e 50).</w:t>
      </w:r>
    </w:p>
    <w:p w:rsidR="00EE4D9C" w:rsidRPr="00EE4D9C" w:rsidRDefault="00EE4D9C" w:rsidP="00EE4D9C">
      <w:pPr>
        <w:spacing w:after="240" w:line="240" w:lineRule="auto"/>
        <w:ind w:left="567"/>
        <w:jc w:val="both"/>
        <w:rPr>
          <w:rFonts w:ascii="Times New Roman" w:eastAsia="Times New Roman" w:hAnsi="Times New Roman" w:cs="Times New Roman"/>
          <w:i/>
          <w:iCs/>
          <w:color w:val="000000"/>
          <w:sz w:val="27"/>
          <w:szCs w:val="27"/>
          <w:lang w:eastAsia="it-IT"/>
        </w:rPr>
      </w:pPr>
      <w:r w:rsidRPr="00EE4D9C">
        <w:rPr>
          <w:rFonts w:ascii="Times New Roman" w:eastAsia="Times New Roman" w:hAnsi="Times New Roman" w:cs="Times New Roman"/>
          <w:i/>
          <w:iCs/>
          <w:color w:val="000000"/>
          <w:sz w:val="27"/>
          <w:szCs w:val="27"/>
          <w:lang w:eastAsia="it-IT"/>
        </w:rPr>
        <w:t> Il diritto portoghese</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14" w:name="point14"/>
      <w:r w:rsidRPr="00EE4D9C">
        <w:rPr>
          <w:rFonts w:ascii="Times New Roman" w:eastAsia="Times New Roman" w:hAnsi="Times New Roman" w:cs="Times New Roman"/>
          <w:color w:val="000000"/>
          <w:sz w:val="27"/>
          <w:szCs w:val="27"/>
          <w:lang w:eastAsia="it-IT"/>
        </w:rPr>
        <w:t>14</w:t>
      </w:r>
      <w:bookmarkEnd w:id="14"/>
      <w:r w:rsidRPr="00EE4D9C">
        <w:rPr>
          <w:rFonts w:ascii="Times New Roman" w:eastAsia="Times New Roman" w:hAnsi="Times New Roman" w:cs="Times New Roman"/>
          <w:color w:val="000000"/>
          <w:sz w:val="27"/>
          <w:szCs w:val="27"/>
          <w:lang w:eastAsia="it-IT"/>
        </w:rPr>
        <w:t>      La direttiva 2004/18 è stata recepita nell’ordinamento giuridico portoghese dal codice degli appalti pubblici, approvato dal decreto legge n. 18/2008, del 29 gennaio 2008, come modificato e ripubblicato in allegato al decreto legge n. 287/2009, del 2 ottobre 1009 (</w:t>
      </w:r>
      <w:proofErr w:type="spellStart"/>
      <w:r w:rsidRPr="00EE4D9C">
        <w:rPr>
          <w:rFonts w:ascii="Times New Roman" w:eastAsia="Times New Roman" w:hAnsi="Times New Roman" w:cs="Times New Roman"/>
          <w:i/>
          <w:iCs/>
          <w:color w:val="000000"/>
          <w:sz w:val="27"/>
          <w:szCs w:val="27"/>
          <w:lang w:eastAsia="it-IT"/>
        </w:rPr>
        <w:t>Diário</w:t>
      </w:r>
      <w:proofErr w:type="spellEnd"/>
      <w:r w:rsidRPr="00EE4D9C">
        <w:rPr>
          <w:rFonts w:ascii="Times New Roman" w:eastAsia="Times New Roman" w:hAnsi="Times New Roman" w:cs="Times New Roman"/>
          <w:i/>
          <w:iCs/>
          <w:color w:val="000000"/>
          <w:sz w:val="27"/>
          <w:szCs w:val="27"/>
          <w:lang w:eastAsia="it-IT"/>
        </w:rPr>
        <w:t xml:space="preserve"> da </w:t>
      </w:r>
      <w:proofErr w:type="spellStart"/>
      <w:r w:rsidRPr="00EE4D9C">
        <w:rPr>
          <w:rFonts w:ascii="Times New Roman" w:eastAsia="Times New Roman" w:hAnsi="Times New Roman" w:cs="Times New Roman"/>
          <w:i/>
          <w:iCs/>
          <w:color w:val="000000"/>
          <w:sz w:val="27"/>
          <w:szCs w:val="27"/>
          <w:lang w:eastAsia="it-IT"/>
        </w:rPr>
        <w:t>República</w:t>
      </w:r>
      <w:proofErr w:type="spellEnd"/>
      <w:r w:rsidRPr="00EE4D9C">
        <w:rPr>
          <w:rFonts w:ascii="Times New Roman" w:eastAsia="Times New Roman" w:hAnsi="Times New Roman" w:cs="Times New Roman"/>
          <w:i/>
          <w:iCs/>
          <w:color w:val="000000"/>
          <w:sz w:val="27"/>
          <w:szCs w:val="27"/>
          <w:lang w:eastAsia="it-IT"/>
        </w:rPr>
        <w:t>, </w:t>
      </w:r>
      <w:r w:rsidRPr="00EE4D9C">
        <w:rPr>
          <w:rFonts w:ascii="Times New Roman" w:eastAsia="Times New Roman" w:hAnsi="Times New Roman" w:cs="Times New Roman"/>
          <w:color w:val="000000"/>
          <w:sz w:val="27"/>
          <w:szCs w:val="27"/>
          <w:lang w:eastAsia="it-IT"/>
        </w:rPr>
        <w:t>1 serie, n. 192, del 2 ottobre 2009; in prosieguo: il «codice degli appalti pubblici»).</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15" w:name="point15"/>
      <w:r w:rsidRPr="00EE4D9C">
        <w:rPr>
          <w:rFonts w:ascii="Times New Roman" w:eastAsia="Times New Roman" w:hAnsi="Times New Roman" w:cs="Times New Roman"/>
          <w:color w:val="000000"/>
          <w:sz w:val="27"/>
          <w:szCs w:val="27"/>
          <w:lang w:eastAsia="it-IT"/>
        </w:rPr>
        <w:t>15</w:t>
      </w:r>
      <w:bookmarkEnd w:id="15"/>
      <w:r w:rsidRPr="00EE4D9C">
        <w:rPr>
          <w:rFonts w:ascii="Times New Roman" w:eastAsia="Times New Roman" w:hAnsi="Times New Roman" w:cs="Times New Roman"/>
          <w:color w:val="000000"/>
          <w:sz w:val="27"/>
          <w:szCs w:val="27"/>
          <w:lang w:eastAsia="it-IT"/>
        </w:rPr>
        <w:t>      In applicazione della giurisprudenza della Corte, richiamata ai punti 12 e 13 della presente sentenza, l’articolo 5, paragrafo 2, del codice degli appalti pubblici è formulato nel modo seguente:</w:t>
      </w:r>
    </w:p>
    <w:p w:rsidR="00EE4D9C" w:rsidRPr="00EE4D9C" w:rsidRDefault="00EE4D9C" w:rsidP="00EE4D9C">
      <w:pPr>
        <w:spacing w:after="240" w:line="240" w:lineRule="auto"/>
        <w:ind w:left="567"/>
        <w:jc w:val="both"/>
        <w:rPr>
          <w:rFonts w:ascii="Times New Roman" w:eastAsia="Times New Roman" w:hAnsi="Times New Roman" w:cs="Times New Roman"/>
          <w:color w:val="000000"/>
          <w:sz w:val="27"/>
          <w:szCs w:val="27"/>
          <w:lang w:eastAsia="it-IT"/>
        </w:rPr>
      </w:pPr>
      <w:r w:rsidRPr="00EE4D9C">
        <w:rPr>
          <w:rFonts w:ascii="Times New Roman" w:eastAsia="Times New Roman" w:hAnsi="Times New Roman" w:cs="Times New Roman"/>
          <w:color w:val="000000"/>
          <w:sz w:val="27"/>
          <w:szCs w:val="27"/>
          <w:lang w:eastAsia="it-IT"/>
        </w:rPr>
        <w:t>«Sono esclusi dall’applicazione della parte II del presente codice anche i contratti che, indipendentemente dall’oggetto, vengono stipulati dalle amministrazioni aggiudicatrici con un altro soggetto, purché</w:t>
      </w:r>
    </w:p>
    <w:p w:rsidR="00EE4D9C" w:rsidRPr="00EE4D9C" w:rsidRDefault="00EE4D9C" w:rsidP="00EE4D9C">
      <w:pPr>
        <w:spacing w:after="240" w:line="240" w:lineRule="auto"/>
        <w:ind w:left="1134" w:hanging="567"/>
        <w:jc w:val="both"/>
        <w:rPr>
          <w:rFonts w:ascii="Times New Roman" w:eastAsia="Times New Roman" w:hAnsi="Times New Roman" w:cs="Times New Roman"/>
          <w:color w:val="000000"/>
          <w:sz w:val="27"/>
          <w:szCs w:val="27"/>
          <w:lang w:eastAsia="it-IT"/>
        </w:rPr>
      </w:pPr>
      <w:r w:rsidRPr="00EE4D9C">
        <w:rPr>
          <w:rFonts w:ascii="Times New Roman" w:eastAsia="Times New Roman" w:hAnsi="Times New Roman" w:cs="Times New Roman"/>
          <w:color w:val="000000"/>
          <w:sz w:val="27"/>
          <w:szCs w:val="27"/>
          <w:lang w:eastAsia="it-IT"/>
        </w:rPr>
        <w:lastRenderedPageBreak/>
        <w:t>a)      l’amministrazione aggiudicatrice eserciti sull’attività di quest’ultimo soggetto, individualmente o congiuntamente ad altre amministrazioni aggiudicatrici, un controllo analogo a quello esercitato sui propri servizi, e</w:t>
      </w:r>
    </w:p>
    <w:p w:rsidR="00EE4D9C" w:rsidRPr="00EE4D9C" w:rsidRDefault="00EE4D9C" w:rsidP="00EE4D9C">
      <w:pPr>
        <w:spacing w:after="240" w:line="240" w:lineRule="auto"/>
        <w:ind w:left="1134" w:hanging="567"/>
        <w:jc w:val="both"/>
        <w:rPr>
          <w:rFonts w:ascii="Times New Roman" w:eastAsia="Times New Roman" w:hAnsi="Times New Roman" w:cs="Times New Roman"/>
          <w:color w:val="000000"/>
          <w:sz w:val="27"/>
          <w:szCs w:val="27"/>
          <w:lang w:eastAsia="it-IT"/>
        </w:rPr>
      </w:pPr>
      <w:r w:rsidRPr="00EE4D9C">
        <w:rPr>
          <w:rFonts w:ascii="Times New Roman" w:eastAsia="Times New Roman" w:hAnsi="Times New Roman" w:cs="Times New Roman"/>
          <w:color w:val="000000"/>
          <w:sz w:val="27"/>
          <w:szCs w:val="27"/>
          <w:lang w:eastAsia="it-IT"/>
        </w:rPr>
        <w:t>b)      detto soggetto realizzi la parte essenziale della propria attività a favore di una o varie amministrazioni aggiudicatrici che esercitano su di esso un controllo analogo a quello menzionato sub a)».</w:t>
      </w:r>
    </w:p>
    <w:p w:rsidR="00EE4D9C" w:rsidRPr="00EE4D9C" w:rsidRDefault="00EE4D9C" w:rsidP="00EE4D9C">
      <w:pPr>
        <w:spacing w:before="480" w:after="240" w:line="240" w:lineRule="auto"/>
        <w:ind w:left="567"/>
        <w:jc w:val="both"/>
        <w:rPr>
          <w:rFonts w:ascii="Times New Roman" w:eastAsia="Times New Roman" w:hAnsi="Times New Roman" w:cs="Times New Roman"/>
          <w:b/>
          <w:bCs/>
          <w:color w:val="000000"/>
          <w:sz w:val="27"/>
          <w:szCs w:val="27"/>
          <w:lang w:eastAsia="it-IT"/>
        </w:rPr>
      </w:pPr>
      <w:r w:rsidRPr="00EE4D9C">
        <w:rPr>
          <w:rFonts w:ascii="Times New Roman" w:eastAsia="Times New Roman" w:hAnsi="Times New Roman" w:cs="Times New Roman"/>
          <w:b/>
          <w:bCs/>
          <w:color w:val="000000"/>
          <w:sz w:val="27"/>
          <w:szCs w:val="27"/>
          <w:lang w:eastAsia="it-IT"/>
        </w:rPr>
        <w:t> Il procedimento principale e le questioni pregiudiziali</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16" w:name="point16"/>
      <w:r w:rsidRPr="00EE4D9C">
        <w:rPr>
          <w:rFonts w:ascii="Times New Roman" w:eastAsia="Times New Roman" w:hAnsi="Times New Roman" w:cs="Times New Roman"/>
          <w:color w:val="000000"/>
          <w:sz w:val="27"/>
          <w:szCs w:val="27"/>
          <w:lang w:eastAsia="it-IT"/>
        </w:rPr>
        <w:t>16</w:t>
      </w:r>
      <w:bookmarkEnd w:id="16"/>
      <w:r w:rsidRPr="00EE4D9C">
        <w:rPr>
          <w:rFonts w:ascii="Times New Roman" w:eastAsia="Times New Roman" w:hAnsi="Times New Roman" w:cs="Times New Roman"/>
          <w:color w:val="000000"/>
          <w:sz w:val="27"/>
          <w:szCs w:val="27"/>
          <w:lang w:eastAsia="it-IT"/>
        </w:rPr>
        <w:t xml:space="preserve">      Il centro ospedaliero, che è un ospedale pubblico, ha concluso, il 27 luglio 2011, con il SUCH un accordo avente ad oggetto la fornitura da parte di quest’ultimo di pasti ai pazienti e al personale del centro ospedaliero (in prosieguo: l’«accordo del 2011»). Tale accordo riguarda un appalto di servizi attribuito direttamente al SUCH, senza applicazione delle procedure di aggiudicazione previste dalla direttiva 2004/18, in quanto, secondo le parti contraenti, esistevano relazioni «in </w:t>
      </w:r>
      <w:proofErr w:type="spellStart"/>
      <w:r w:rsidRPr="00EE4D9C">
        <w:rPr>
          <w:rFonts w:ascii="Times New Roman" w:eastAsia="Times New Roman" w:hAnsi="Times New Roman" w:cs="Times New Roman"/>
          <w:color w:val="000000"/>
          <w:sz w:val="27"/>
          <w:szCs w:val="27"/>
          <w:lang w:eastAsia="it-IT"/>
        </w:rPr>
        <w:t>house</w:t>
      </w:r>
      <w:proofErr w:type="spellEnd"/>
      <w:r w:rsidRPr="00EE4D9C">
        <w:rPr>
          <w:rFonts w:ascii="Times New Roman" w:eastAsia="Times New Roman" w:hAnsi="Times New Roman" w:cs="Times New Roman"/>
          <w:color w:val="000000"/>
          <w:sz w:val="27"/>
          <w:szCs w:val="27"/>
          <w:lang w:eastAsia="it-IT"/>
        </w:rPr>
        <w:t>» tra quest’ultimo e gli ospedali pubblici, che ne sono membri. Tale accordo era diretto a soddisfare i bisogni di questi ultimi con risorse interne.</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17" w:name="point17"/>
      <w:r w:rsidRPr="00EE4D9C">
        <w:rPr>
          <w:rFonts w:ascii="Times New Roman" w:eastAsia="Times New Roman" w:hAnsi="Times New Roman" w:cs="Times New Roman"/>
          <w:color w:val="000000"/>
          <w:sz w:val="27"/>
          <w:szCs w:val="27"/>
          <w:lang w:eastAsia="it-IT"/>
        </w:rPr>
        <w:t>17</w:t>
      </w:r>
      <w:bookmarkEnd w:id="17"/>
      <w:r w:rsidRPr="00EE4D9C">
        <w:rPr>
          <w:rFonts w:ascii="Times New Roman" w:eastAsia="Times New Roman" w:hAnsi="Times New Roman" w:cs="Times New Roman"/>
          <w:color w:val="000000"/>
          <w:sz w:val="27"/>
          <w:szCs w:val="27"/>
          <w:lang w:eastAsia="it-IT"/>
        </w:rPr>
        <w:t>      L’accordo del 2011 riguarda il periodo compreso tra il 10 agosto 2011 e il 9 agosto 2016 e può essere rinnovato. Il suo importo annuale è pari a EUR 1 295 289 sul totale di EUR 6 476 445 per i cinque anni della durata del contratto.</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18" w:name="point18"/>
      <w:r w:rsidRPr="00EE4D9C">
        <w:rPr>
          <w:rFonts w:ascii="Times New Roman" w:eastAsia="Times New Roman" w:hAnsi="Times New Roman" w:cs="Times New Roman"/>
          <w:color w:val="000000"/>
          <w:sz w:val="27"/>
          <w:szCs w:val="27"/>
          <w:lang w:eastAsia="it-IT"/>
        </w:rPr>
        <w:t>18</w:t>
      </w:r>
      <w:bookmarkEnd w:id="18"/>
      <w:r w:rsidRPr="00EE4D9C">
        <w:rPr>
          <w:rFonts w:ascii="Times New Roman" w:eastAsia="Times New Roman" w:hAnsi="Times New Roman" w:cs="Times New Roman"/>
          <w:color w:val="000000"/>
          <w:sz w:val="27"/>
          <w:szCs w:val="27"/>
          <w:lang w:eastAsia="it-IT"/>
        </w:rPr>
        <w:t>      Come risulta dal fascicolo messo a disposizione della Corte, il SUCH è stato creato dal decreto legge n. 46/668, del 24 novembre 1965. Il suo statuto è stato omologato nel mese di ottobre 2010 dal segretario di Stato alla Sanità. Ai sensi dell’articolo 2 del suo statuto, il SUCH è un’associazione senza scopo di lucro che è preordinata alla realizzazione di una funzione di servizio pubblico. Esso costituisce uno strumento per l’autogestione delle necessità dei suoi membri e, a tal fine, è tenuto ad assumere direttamente le iniziative che possono agevolare e rendere più efficiente il suo funzionamento, conferendogli i vantaggi che derivano dalle economie di scala, e a contribuire in tal modo alla sostenibilità finanziaria del sistema sanitario nazionale.</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19" w:name="point19"/>
      <w:r w:rsidRPr="00EE4D9C">
        <w:rPr>
          <w:rFonts w:ascii="Times New Roman" w:eastAsia="Times New Roman" w:hAnsi="Times New Roman" w:cs="Times New Roman"/>
          <w:color w:val="000000"/>
          <w:sz w:val="27"/>
          <w:szCs w:val="27"/>
          <w:lang w:eastAsia="it-IT"/>
        </w:rPr>
        <w:t>19</w:t>
      </w:r>
      <w:bookmarkEnd w:id="19"/>
      <w:r w:rsidRPr="00EE4D9C">
        <w:rPr>
          <w:rFonts w:ascii="Times New Roman" w:eastAsia="Times New Roman" w:hAnsi="Times New Roman" w:cs="Times New Roman"/>
          <w:color w:val="000000"/>
          <w:sz w:val="27"/>
          <w:szCs w:val="27"/>
          <w:lang w:eastAsia="it-IT"/>
        </w:rPr>
        <w:t>      Ai sensi dell’articolo 7 dello statuto del SUCH, possono esserne membri solo soggetti appartenenti al settore pubblico o al settore sociale, cioè istituzioni di solidarietà sociale senza scopo di lucro, compresi i servizi e le istituzioni del ministero della Sanità nonché di altri ministeri. Inoltre, il SUCH deve assicurare che la maggioranza dei diritti di voto nell’assemblea generale sia detenuta da società pubbliche che sono assoggettate ai poteri di indirizzo, controllo e tutela del membro del governo responsabile per il settore della sanità.</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20" w:name="point20"/>
      <w:r w:rsidRPr="00EE4D9C">
        <w:rPr>
          <w:rFonts w:ascii="Times New Roman" w:eastAsia="Times New Roman" w:hAnsi="Times New Roman" w:cs="Times New Roman"/>
          <w:color w:val="000000"/>
          <w:sz w:val="27"/>
          <w:szCs w:val="27"/>
          <w:lang w:eastAsia="it-IT"/>
        </w:rPr>
        <w:t>20</w:t>
      </w:r>
      <w:bookmarkEnd w:id="20"/>
      <w:r w:rsidRPr="00EE4D9C">
        <w:rPr>
          <w:rFonts w:ascii="Times New Roman" w:eastAsia="Times New Roman" w:hAnsi="Times New Roman" w:cs="Times New Roman"/>
          <w:color w:val="000000"/>
          <w:sz w:val="27"/>
          <w:szCs w:val="27"/>
          <w:lang w:eastAsia="it-IT"/>
        </w:rPr>
        <w:t xml:space="preserve">      Ai sensi dell’articolo 5 del suo statuto, il SUCH può altresì fornire servizi a enti pubblici non membri o ad enti privati, nazionali o stranieri, in regime di concorrenza e di mercato, a condizione che ciò non arrechi pregiudizio ai suoi membri e risulti vantaggioso per il SUCH stesso e per i suoi membri, sia dal punto </w:t>
      </w:r>
      <w:r w:rsidRPr="00EE4D9C">
        <w:rPr>
          <w:rFonts w:ascii="Times New Roman" w:eastAsia="Times New Roman" w:hAnsi="Times New Roman" w:cs="Times New Roman"/>
          <w:color w:val="000000"/>
          <w:sz w:val="27"/>
          <w:szCs w:val="27"/>
          <w:lang w:eastAsia="it-IT"/>
        </w:rPr>
        <w:lastRenderedPageBreak/>
        <w:t>di vista economico che da quello della valorizzazione tecnologica. Tuttavia, la prestazione di tali servizi deve avere natura accessoria nel contesto dell’attività del SUCH e non rappresentare un volume superiore al 20% del fatturato globale annuale dell’esercizio precedente.</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21" w:name="point21"/>
      <w:r w:rsidRPr="00EE4D9C">
        <w:rPr>
          <w:rFonts w:ascii="Times New Roman" w:eastAsia="Times New Roman" w:hAnsi="Times New Roman" w:cs="Times New Roman"/>
          <w:color w:val="000000"/>
          <w:sz w:val="27"/>
          <w:szCs w:val="27"/>
          <w:lang w:eastAsia="it-IT"/>
        </w:rPr>
        <w:t>21</w:t>
      </w:r>
      <w:bookmarkEnd w:id="21"/>
      <w:r w:rsidRPr="00EE4D9C">
        <w:rPr>
          <w:rFonts w:ascii="Times New Roman" w:eastAsia="Times New Roman" w:hAnsi="Times New Roman" w:cs="Times New Roman"/>
          <w:color w:val="000000"/>
          <w:sz w:val="27"/>
          <w:szCs w:val="27"/>
          <w:lang w:eastAsia="it-IT"/>
        </w:rPr>
        <w:t>      Alla data della conclusione dell’accordo del 2011 il SUCH comprendeva 88 membri, tra i quali figuravano 23 istituti privati di solidarietà sociale, tutti senza scopo di lucro, di cui 20 istituti caritatevoli («</w:t>
      </w:r>
      <w:proofErr w:type="spellStart"/>
      <w:r w:rsidRPr="00EE4D9C">
        <w:rPr>
          <w:rFonts w:ascii="Times New Roman" w:eastAsia="Times New Roman" w:hAnsi="Times New Roman" w:cs="Times New Roman"/>
          <w:color w:val="000000"/>
          <w:sz w:val="27"/>
          <w:szCs w:val="27"/>
          <w:lang w:eastAsia="it-IT"/>
        </w:rPr>
        <w:t>Misericórdias</w:t>
      </w:r>
      <w:proofErr w:type="spellEnd"/>
      <w:r w:rsidRPr="00EE4D9C">
        <w:rPr>
          <w:rFonts w:ascii="Times New Roman" w:eastAsia="Times New Roman" w:hAnsi="Times New Roman" w:cs="Times New Roman"/>
          <w:color w:val="000000"/>
          <w:sz w:val="27"/>
          <w:szCs w:val="27"/>
          <w:lang w:eastAsia="it-IT"/>
        </w:rPr>
        <w:t>»).</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22" w:name="point22"/>
      <w:r w:rsidRPr="00EE4D9C">
        <w:rPr>
          <w:rFonts w:ascii="Times New Roman" w:eastAsia="Times New Roman" w:hAnsi="Times New Roman" w:cs="Times New Roman"/>
          <w:color w:val="000000"/>
          <w:sz w:val="27"/>
          <w:szCs w:val="27"/>
          <w:lang w:eastAsia="it-IT"/>
        </w:rPr>
        <w:t>22</w:t>
      </w:r>
      <w:bookmarkEnd w:id="22"/>
      <w:r w:rsidRPr="00EE4D9C">
        <w:rPr>
          <w:rFonts w:ascii="Times New Roman" w:eastAsia="Times New Roman" w:hAnsi="Times New Roman" w:cs="Times New Roman"/>
          <w:color w:val="000000"/>
          <w:sz w:val="27"/>
          <w:szCs w:val="27"/>
          <w:lang w:eastAsia="it-IT"/>
        </w:rPr>
        <w:t xml:space="preserve">      La </w:t>
      </w:r>
      <w:proofErr w:type="spellStart"/>
      <w:r w:rsidRPr="00EE4D9C">
        <w:rPr>
          <w:rFonts w:ascii="Times New Roman" w:eastAsia="Times New Roman" w:hAnsi="Times New Roman" w:cs="Times New Roman"/>
          <w:color w:val="000000"/>
          <w:sz w:val="27"/>
          <w:szCs w:val="27"/>
          <w:lang w:eastAsia="it-IT"/>
        </w:rPr>
        <w:t>Eurest</w:t>
      </w:r>
      <w:proofErr w:type="spellEnd"/>
      <w:r w:rsidRPr="00EE4D9C">
        <w:rPr>
          <w:rFonts w:ascii="Times New Roman" w:eastAsia="Times New Roman" w:hAnsi="Times New Roman" w:cs="Times New Roman"/>
          <w:color w:val="000000"/>
          <w:sz w:val="27"/>
          <w:szCs w:val="27"/>
          <w:lang w:eastAsia="it-IT"/>
        </w:rPr>
        <w:t xml:space="preserve">, società attiva nella prestazione di servizi analoghi a quelli oggetto dell’accordo del 2011, ha proposto un ricorso dinanzi al </w:t>
      </w:r>
      <w:proofErr w:type="spellStart"/>
      <w:r w:rsidRPr="00EE4D9C">
        <w:rPr>
          <w:rFonts w:ascii="Times New Roman" w:eastAsia="Times New Roman" w:hAnsi="Times New Roman" w:cs="Times New Roman"/>
          <w:color w:val="000000"/>
          <w:sz w:val="27"/>
          <w:szCs w:val="27"/>
          <w:lang w:eastAsia="it-IT"/>
        </w:rPr>
        <w:t>Tribunal</w:t>
      </w:r>
      <w:proofErr w:type="spellEnd"/>
      <w:r w:rsidRPr="00EE4D9C">
        <w:rPr>
          <w:rFonts w:ascii="Times New Roman" w:eastAsia="Times New Roman" w:hAnsi="Times New Roman" w:cs="Times New Roman"/>
          <w:color w:val="000000"/>
          <w:sz w:val="27"/>
          <w:szCs w:val="27"/>
          <w:lang w:eastAsia="it-IT"/>
        </w:rPr>
        <w:t xml:space="preserve"> </w:t>
      </w:r>
      <w:proofErr w:type="spellStart"/>
      <w:r w:rsidRPr="00EE4D9C">
        <w:rPr>
          <w:rFonts w:ascii="Times New Roman" w:eastAsia="Times New Roman" w:hAnsi="Times New Roman" w:cs="Times New Roman"/>
          <w:color w:val="000000"/>
          <w:sz w:val="27"/>
          <w:szCs w:val="27"/>
          <w:lang w:eastAsia="it-IT"/>
        </w:rPr>
        <w:t>Administrativo</w:t>
      </w:r>
      <w:proofErr w:type="spellEnd"/>
      <w:r w:rsidRPr="00EE4D9C">
        <w:rPr>
          <w:rFonts w:ascii="Times New Roman" w:eastAsia="Times New Roman" w:hAnsi="Times New Roman" w:cs="Times New Roman"/>
          <w:color w:val="000000"/>
          <w:sz w:val="27"/>
          <w:szCs w:val="27"/>
          <w:lang w:eastAsia="it-IT"/>
        </w:rPr>
        <w:t xml:space="preserve"> e Fiscal de </w:t>
      </w:r>
      <w:proofErr w:type="spellStart"/>
      <w:r w:rsidRPr="00EE4D9C">
        <w:rPr>
          <w:rFonts w:ascii="Times New Roman" w:eastAsia="Times New Roman" w:hAnsi="Times New Roman" w:cs="Times New Roman"/>
          <w:color w:val="000000"/>
          <w:sz w:val="27"/>
          <w:szCs w:val="27"/>
          <w:lang w:eastAsia="it-IT"/>
        </w:rPr>
        <w:t>Almada</w:t>
      </w:r>
      <w:proofErr w:type="spellEnd"/>
      <w:r w:rsidRPr="00EE4D9C">
        <w:rPr>
          <w:rFonts w:ascii="Times New Roman" w:eastAsia="Times New Roman" w:hAnsi="Times New Roman" w:cs="Times New Roman"/>
          <w:color w:val="000000"/>
          <w:sz w:val="27"/>
          <w:szCs w:val="27"/>
          <w:lang w:eastAsia="it-IT"/>
        </w:rPr>
        <w:t>, diretto all’annullamento di tale accordo. Con sentenza in data 30 gennaio 2012, tale giudice ha annullato l’accordo del 2011, in quanto tra il centro ospedaliero e il SUCH non esiste un rapporto di controllo che possa giustificare l’aggiudicazione dell’appalto in questione per affidamento diretto.</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23" w:name="point23"/>
      <w:r w:rsidRPr="00EE4D9C">
        <w:rPr>
          <w:rFonts w:ascii="Times New Roman" w:eastAsia="Times New Roman" w:hAnsi="Times New Roman" w:cs="Times New Roman"/>
          <w:color w:val="000000"/>
          <w:sz w:val="27"/>
          <w:szCs w:val="27"/>
          <w:lang w:eastAsia="it-IT"/>
        </w:rPr>
        <w:t>23</w:t>
      </w:r>
      <w:bookmarkEnd w:id="23"/>
      <w:r w:rsidRPr="00EE4D9C">
        <w:rPr>
          <w:rFonts w:ascii="Times New Roman" w:eastAsia="Times New Roman" w:hAnsi="Times New Roman" w:cs="Times New Roman"/>
          <w:color w:val="000000"/>
          <w:sz w:val="27"/>
          <w:szCs w:val="27"/>
          <w:lang w:eastAsia="it-IT"/>
        </w:rPr>
        <w:t xml:space="preserve">      A tale proposito, il detto giudice si è fondato su una sentenza del </w:t>
      </w:r>
      <w:proofErr w:type="spellStart"/>
      <w:r w:rsidRPr="00EE4D9C">
        <w:rPr>
          <w:rFonts w:ascii="Times New Roman" w:eastAsia="Times New Roman" w:hAnsi="Times New Roman" w:cs="Times New Roman"/>
          <w:color w:val="000000"/>
          <w:sz w:val="27"/>
          <w:szCs w:val="27"/>
          <w:lang w:eastAsia="it-IT"/>
        </w:rPr>
        <w:t>Tribunal</w:t>
      </w:r>
      <w:proofErr w:type="spellEnd"/>
      <w:r w:rsidRPr="00EE4D9C">
        <w:rPr>
          <w:rFonts w:ascii="Times New Roman" w:eastAsia="Times New Roman" w:hAnsi="Times New Roman" w:cs="Times New Roman"/>
          <w:color w:val="000000"/>
          <w:sz w:val="27"/>
          <w:szCs w:val="27"/>
          <w:lang w:eastAsia="it-IT"/>
        </w:rPr>
        <w:t xml:space="preserve"> de </w:t>
      </w:r>
      <w:proofErr w:type="spellStart"/>
      <w:r w:rsidRPr="00EE4D9C">
        <w:rPr>
          <w:rFonts w:ascii="Times New Roman" w:eastAsia="Times New Roman" w:hAnsi="Times New Roman" w:cs="Times New Roman"/>
          <w:color w:val="000000"/>
          <w:sz w:val="27"/>
          <w:szCs w:val="27"/>
          <w:lang w:eastAsia="it-IT"/>
        </w:rPr>
        <w:t>Contas</w:t>
      </w:r>
      <w:proofErr w:type="spellEnd"/>
      <w:r w:rsidRPr="00EE4D9C">
        <w:rPr>
          <w:rFonts w:ascii="Times New Roman" w:eastAsia="Times New Roman" w:hAnsi="Times New Roman" w:cs="Times New Roman"/>
          <w:color w:val="000000"/>
          <w:sz w:val="27"/>
          <w:szCs w:val="27"/>
          <w:lang w:eastAsia="it-IT"/>
        </w:rPr>
        <w:t xml:space="preserve"> (Corte dei conti), che dichiara che – malgrado le modifiche dello statuto del SUCH, il numero dei suoi membri non pubblici, la sua notevole autonomia e la sua indipendenza dai pubblici poteri – la concreta dinamica di funzionamento del suo consiglio di amministrazione e il fatto che si tratta di una società di notevoli dimensioni e complessità non consentivano di considerare soddisfatte le condizioni previste dall’articolo 5, paragrafo 2, del codice degli appalti pubblici. Tale sentenza è stata confermata da una sentenza delle sezioni unite del </w:t>
      </w:r>
      <w:proofErr w:type="spellStart"/>
      <w:r w:rsidRPr="00EE4D9C">
        <w:rPr>
          <w:rFonts w:ascii="Times New Roman" w:eastAsia="Times New Roman" w:hAnsi="Times New Roman" w:cs="Times New Roman"/>
          <w:color w:val="000000"/>
          <w:sz w:val="27"/>
          <w:szCs w:val="27"/>
          <w:lang w:eastAsia="it-IT"/>
        </w:rPr>
        <w:t>Tribunal</w:t>
      </w:r>
      <w:proofErr w:type="spellEnd"/>
      <w:r w:rsidRPr="00EE4D9C">
        <w:rPr>
          <w:rFonts w:ascii="Times New Roman" w:eastAsia="Times New Roman" w:hAnsi="Times New Roman" w:cs="Times New Roman"/>
          <w:color w:val="000000"/>
          <w:sz w:val="27"/>
          <w:szCs w:val="27"/>
          <w:lang w:eastAsia="it-IT"/>
        </w:rPr>
        <w:t xml:space="preserve"> de </w:t>
      </w:r>
      <w:proofErr w:type="spellStart"/>
      <w:r w:rsidRPr="00EE4D9C">
        <w:rPr>
          <w:rFonts w:ascii="Times New Roman" w:eastAsia="Times New Roman" w:hAnsi="Times New Roman" w:cs="Times New Roman"/>
          <w:color w:val="000000"/>
          <w:sz w:val="27"/>
          <w:szCs w:val="27"/>
          <w:lang w:eastAsia="it-IT"/>
        </w:rPr>
        <w:t>Contas</w:t>
      </w:r>
      <w:proofErr w:type="spellEnd"/>
      <w:r w:rsidRPr="00EE4D9C">
        <w:rPr>
          <w:rFonts w:ascii="Times New Roman" w:eastAsia="Times New Roman" w:hAnsi="Times New Roman" w:cs="Times New Roman"/>
          <w:color w:val="000000"/>
          <w:sz w:val="27"/>
          <w:szCs w:val="27"/>
          <w:lang w:eastAsia="it-IT"/>
        </w:rPr>
        <w:t xml:space="preserve"> del 3 luglio 2012.</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24" w:name="point24"/>
      <w:r w:rsidRPr="00EE4D9C">
        <w:rPr>
          <w:rFonts w:ascii="Times New Roman" w:eastAsia="Times New Roman" w:hAnsi="Times New Roman" w:cs="Times New Roman"/>
          <w:color w:val="000000"/>
          <w:sz w:val="27"/>
          <w:szCs w:val="27"/>
          <w:lang w:eastAsia="it-IT"/>
        </w:rPr>
        <w:t>24</w:t>
      </w:r>
      <w:bookmarkEnd w:id="24"/>
      <w:r w:rsidRPr="00EE4D9C">
        <w:rPr>
          <w:rFonts w:ascii="Times New Roman" w:eastAsia="Times New Roman" w:hAnsi="Times New Roman" w:cs="Times New Roman"/>
          <w:color w:val="000000"/>
          <w:sz w:val="27"/>
          <w:szCs w:val="27"/>
          <w:lang w:eastAsia="it-IT"/>
        </w:rPr>
        <w:t xml:space="preserve">      Il centro ospedaliero e il SUCH hanno impugnato la sentenza del </w:t>
      </w:r>
      <w:proofErr w:type="spellStart"/>
      <w:r w:rsidRPr="00EE4D9C">
        <w:rPr>
          <w:rFonts w:ascii="Times New Roman" w:eastAsia="Times New Roman" w:hAnsi="Times New Roman" w:cs="Times New Roman"/>
          <w:color w:val="000000"/>
          <w:sz w:val="27"/>
          <w:szCs w:val="27"/>
          <w:lang w:eastAsia="it-IT"/>
        </w:rPr>
        <w:t>Tribunal</w:t>
      </w:r>
      <w:proofErr w:type="spellEnd"/>
      <w:r w:rsidRPr="00EE4D9C">
        <w:rPr>
          <w:rFonts w:ascii="Times New Roman" w:eastAsia="Times New Roman" w:hAnsi="Times New Roman" w:cs="Times New Roman"/>
          <w:color w:val="000000"/>
          <w:sz w:val="27"/>
          <w:szCs w:val="27"/>
          <w:lang w:eastAsia="it-IT"/>
        </w:rPr>
        <w:t xml:space="preserve"> </w:t>
      </w:r>
      <w:proofErr w:type="spellStart"/>
      <w:r w:rsidRPr="00EE4D9C">
        <w:rPr>
          <w:rFonts w:ascii="Times New Roman" w:eastAsia="Times New Roman" w:hAnsi="Times New Roman" w:cs="Times New Roman"/>
          <w:color w:val="000000"/>
          <w:sz w:val="27"/>
          <w:szCs w:val="27"/>
          <w:lang w:eastAsia="it-IT"/>
        </w:rPr>
        <w:t>Administrativo</w:t>
      </w:r>
      <w:proofErr w:type="spellEnd"/>
      <w:r w:rsidRPr="00EE4D9C">
        <w:rPr>
          <w:rFonts w:ascii="Times New Roman" w:eastAsia="Times New Roman" w:hAnsi="Times New Roman" w:cs="Times New Roman"/>
          <w:color w:val="000000"/>
          <w:sz w:val="27"/>
          <w:szCs w:val="27"/>
          <w:lang w:eastAsia="it-IT"/>
        </w:rPr>
        <w:t xml:space="preserve"> e Fiscal de </w:t>
      </w:r>
      <w:proofErr w:type="spellStart"/>
      <w:r w:rsidRPr="00EE4D9C">
        <w:rPr>
          <w:rFonts w:ascii="Times New Roman" w:eastAsia="Times New Roman" w:hAnsi="Times New Roman" w:cs="Times New Roman"/>
          <w:color w:val="000000"/>
          <w:sz w:val="27"/>
          <w:szCs w:val="27"/>
          <w:lang w:eastAsia="it-IT"/>
        </w:rPr>
        <w:t>Almada</w:t>
      </w:r>
      <w:proofErr w:type="spellEnd"/>
      <w:r w:rsidRPr="00EE4D9C">
        <w:rPr>
          <w:rFonts w:ascii="Times New Roman" w:eastAsia="Times New Roman" w:hAnsi="Times New Roman" w:cs="Times New Roman"/>
          <w:color w:val="000000"/>
          <w:sz w:val="27"/>
          <w:szCs w:val="27"/>
          <w:lang w:eastAsia="it-IT"/>
        </w:rPr>
        <w:t xml:space="preserve"> dinanzi al </w:t>
      </w:r>
      <w:proofErr w:type="spellStart"/>
      <w:r w:rsidRPr="00EE4D9C">
        <w:rPr>
          <w:rFonts w:ascii="Times New Roman" w:eastAsia="Times New Roman" w:hAnsi="Times New Roman" w:cs="Times New Roman"/>
          <w:color w:val="000000"/>
          <w:sz w:val="27"/>
          <w:szCs w:val="27"/>
          <w:lang w:eastAsia="it-IT"/>
        </w:rPr>
        <w:t>Tribunal</w:t>
      </w:r>
      <w:proofErr w:type="spellEnd"/>
      <w:r w:rsidRPr="00EE4D9C">
        <w:rPr>
          <w:rFonts w:ascii="Times New Roman" w:eastAsia="Times New Roman" w:hAnsi="Times New Roman" w:cs="Times New Roman"/>
          <w:color w:val="000000"/>
          <w:sz w:val="27"/>
          <w:szCs w:val="27"/>
          <w:lang w:eastAsia="it-IT"/>
        </w:rPr>
        <w:t xml:space="preserve"> Central </w:t>
      </w:r>
      <w:proofErr w:type="spellStart"/>
      <w:r w:rsidRPr="00EE4D9C">
        <w:rPr>
          <w:rFonts w:ascii="Times New Roman" w:eastAsia="Times New Roman" w:hAnsi="Times New Roman" w:cs="Times New Roman"/>
          <w:color w:val="000000"/>
          <w:sz w:val="27"/>
          <w:szCs w:val="27"/>
          <w:lang w:eastAsia="it-IT"/>
        </w:rPr>
        <w:t>Administrativo</w:t>
      </w:r>
      <w:proofErr w:type="spellEnd"/>
      <w:r w:rsidRPr="00EE4D9C">
        <w:rPr>
          <w:rFonts w:ascii="Times New Roman" w:eastAsia="Times New Roman" w:hAnsi="Times New Roman" w:cs="Times New Roman"/>
          <w:color w:val="000000"/>
          <w:sz w:val="27"/>
          <w:szCs w:val="27"/>
          <w:lang w:eastAsia="it-IT"/>
        </w:rPr>
        <w:t xml:space="preserve"> do Sul, il quale, con sentenza del 26 aprile 2012, ha respinto i loro ricorsi e ha confermato la sentenza impugnata, fondandosi sulla motivazione esposta dal </w:t>
      </w:r>
      <w:proofErr w:type="spellStart"/>
      <w:r w:rsidRPr="00EE4D9C">
        <w:rPr>
          <w:rFonts w:ascii="Times New Roman" w:eastAsia="Times New Roman" w:hAnsi="Times New Roman" w:cs="Times New Roman"/>
          <w:color w:val="000000"/>
          <w:sz w:val="27"/>
          <w:szCs w:val="27"/>
          <w:lang w:eastAsia="it-IT"/>
        </w:rPr>
        <w:t>Tribunal</w:t>
      </w:r>
      <w:proofErr w:type="spellEnd"/>
      <w:r w:rsidRPr="00EE4D9C">
        <w:rPr>
          <w:rFonts w:ascii="Times New Roman" w:eastAsia="Times New Roman" w:hAnsi="Times New Roman" w:cs="Times New Roman"/>
          <w:color w:val="000000"/>
          <w:sz w:val="27"/>
          <w:szCs w:val="27"/>
          <w:lang w:eastAsia="it-IT"/>
        </w:rPr>
        <w:t xml:space="preserve"> de </w:t>
      </w:r>
      <w:proofErr w:type="spellStart"/>
      <w:r w:rsidRPr="00EE4D9C">
        <w:rPr>
          <w:rFonts w:ascii="Times New Roman" w:eastAsia="Times New Roman" w:hAnsi="Times New Roman" w:cs="Times New Roman"/>
          <w:color w:val="000000"/>
          <w:sz w:val="27"/>
          <w:szCs w:val="27"/>
          <w:lang w:eastAsia="it-IT"/>
        </w:rPr>
        <w:t>Contas</w:t>
      </w:r>
      <w:proofErr w:type="spellEnd"/>
      <w:r w:rsidRPr="00EE4D9C">
        <w:rPr>
          <w:rFonts w:ascii="Times New Roman" w:eastAsia="Times New Roman" w:hAnsi="Times New Roman" w:cs="Times New Roman"/>
          <w:color w:val="000000"/>
          <w:sz w:val="27"/>
          <w:szCs w:val="27"/>
          <w:lang w:eastAsia="it-IT"/>
        </w:rPr>
        <w:t xml:space="preserve"> nella citata sentenza. In seguito a tale rigetto, il centro ospedaliero e il SUCH hanno proposto ricorsi in cassazione dinanzi al Supremo </w:t>
      </w:r>
      <w:proofErr w:type="spellStart"/>
      <w:r w:rsidRPr="00EE4D9C">
        <w:rPr>
          <w:rFonts w:ascii="Times New Roman" w:eastAsia="Times New Roman" w:hAnsi="Times New Roman" w:cs="Times New Roman"/>
          <w:color w:val="000000"/>
          <w:sz w:val="27"/>
          <w:szCs w:val="27"/>
          <w:lang w:eastAsia="it-IT"/>
        </w:rPr>
        <w:t>Tribunal</w:t>
      </w:r>
      <w:proofErr w:type="spellEnd"/>
      <w:r w:rsidRPr="00EE4D9C">
        <w:rPr>
          <w:rFonts w:ascii="Times New Roman" w:eastAsia="Times New Roman" w:hAnsi="Times New Roman" w:cs="Times New Roman"/>
          <w:color w:val="000000"/>
          <w:sz w:val="27"/>
          <w:szCs w:val="27"/>
          <w:lang w:eastAsia="it-IT"/>
        </w:rPr>
        <w:t xml:space="preserve"> </w:t>
      </w:r>
      <w:proofErr w:type="spellStart"/>
      <w:r w:rsidRPr="00EE4D9C">
        <w:rPr>
          <w:rFonts w:ascii="Times New Roman" w:eastAsia="Times New Roman" w:hAnsi="Times New Roman" w:cs="Times New Roman"/>
          <w:color w:val="000000"/>
          <w:sz w:val="27"/>
          <w:szCs w:val="27"/>
          <w:lang w:eastAsia="it-IT"/>
        </w:rPr>
        <w:t>Administrativo</w:t>
      </w:r>
      <w:proofErr w:type="spellEnd"/>
      <w:r w:rsidRPr="00EE4D9C">
        <w:rPr>
          <w:rFonts w:ascii="Times New Roman" w:eastAsia="Times New Roman" w:hAnsi="Times New Roman" w:cs="Times New Roman"/>
          <w:color w:val="000000"/>
          <w:sz w:val="27"/>
          <w:szCs w:val="27"/>
          <w:lang w:eastAsia="it-IT"/>
        </w:rPr>
        <w:t>, confermando i loro argomenti relativi all’esistenza di un rapporto interno tra il SUCH e gli ospedali pubblici, che costituiscono la maggioranza dei suoi membri.</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25" w:name="point25"/>
      <w:r w:rsidRPr="00EE4D9C">
        <w:rPr>
          <w:rFonts w:ascii="Times New Roman" w:eastAsia="Times New Roman" w:hAnsi="Times New Roman" w:cs="Times New Roman"/>
          <w:color w:val="000000"/>
          <w:sz w:val="27"/>
          <w:szCs w:val="27"/>
          <w:lang w:eastAsia="it-IT"/>
        </w:rPr>
        <w:t>25</w:t>
      </w:r>
      <w:bookmarkEnd w:id="25"/>
      <w:r w:rsidRPr="00EE4D9C">
        <w:rPr>
          <w:rFonts w:ascii="Times New Roman" w:eastAsia="Times New Roman" w:hAnsi="Times New Roman" w:cs="Times New Roman"/>
          <w:color w:val="000000"/>
          <w:sz w:val="27"/>
          <w:szCs w:val="27"/>
          <w:lang w:eastAsia="it-IT"/>
        </w:rPr>
        <w:t xml:space="preserve">      Il Supremo </w:t>
      </w:r>
      <w:proofErr w:type="spellStart"/>
      <w:r w:rsidRPr="00EE4D9C">
        <w:rPr>
          <w:rFonts w:ascii="Times New Roman" w:eastAsia="Times New Roman" w:hAnsi="Times New Roman" w:cs="Times New Roman"/>
          <w:color w:val="000000"/>
          <w:sz w:val="27"/>
          <w:szCs w:val="27"/>
          <w:lang w:eastAsia="it-IT"/>
        </w:rPr>
        <w:t>Tribunal</w:t>
      </w:r>
      <w:proofErr w:type="spellEnd"/>
      <w:r w:rsidRPr="00EE4D9C">
        <w:rPr>
          <w:rFonts w:ascii="Times New Roman" w:eastAsia="Times New Roman" w:hAnsi="Times New Roman" w:cs="Times New Roman"/>
          <w:color w:val="000000"/>
          <w:sz w:val="27"/>
          <w:szCs w:val="27"/>
          <w:lang w:eastAsia="it-IT"/>
        </w:rPr>
        <w:t xml:space="preserve"> </w:t>
      </w:r>
      <w:proofErr w:type="spellStart"/>
      <w:r w:rsidRPr="00EE4D9C">
        <w:rPr>
          <w:rFonts w:ascii="Times New Roman" w:eastAsia="Times New Roman" w:hAnsi="Times New Roman" w:cs="Times New Roman"/>
          <w:color w:val="000000"/>
          <w:sz w:val="27"/>
          <w:szCs w:val="27"/>
          <w:lang w:eastAsia="it-IT"/>
        </w:rPr>
        <w:t>Administrativo</w:t>
      </w:r>
      <w:proofErr w:type="spellEnd"/>
      <w:r w:rsidRPr="00EE4D9C">
        <w:rPr>
          <w:rFonts w:ascii="Times New Roman" w:eastAsia="Times New Roman" w:hAnsi="Times New Roman" w:cs="Times New Roman"/>
          <w:color w:val="000000"/>
          <w:sz w:val="27"/>
          <w:szCs w:val="27"/>
          <w:lang w:eastAsia="it-IT"/>
        </w:rPr>
        <w:t xml:space="preserve"> rileva che un ospedale pubblico, come il centro ospedaliero, in quanto persona giuridica di diritto pubblico, costituisce un’amministrazione aggiudicatrice e che l’accordo concluso a titolo oneroso con il SUCH, ente distinto dall’amministrazione aggiudicatrice, costituisce un appalto pubblico di servizi, ai sensi dell’articolo 1, paragrafo 2, lettera a), della direttiva 2004/18. Per verificare se tale appalto poteva essere attribuito direttamente, il giudice del rinvio rileva che il «controllo analogo», richiesto a tal fine dalla giurisprudenza della Corte, può essere esercitato sull’aggiudicatario da più amministrazioni aggiudicatrici congiuntamente e che tale controllo implica un potere di ingerenza effettivo della o delle amministrazioni aggiudicatrici non solo </w:t>
      </w:r>
      <w:r w:rsidRPr="00EE4D9C">
        <w:rPr>
          <w:rFonts w:ascii="Times New Roman" w:eastAsia="Times New Roman" w:hAnsi="Times New Roman" w:cs="Times New Roman"/>
          <w:color w:val="000000"/>
          <w:sz w:val="27"/>
          <w:szCs w:val="27"/>
          <w:lang w:eastAsia="it-IT"/>
        </w:rPr>
        <w:lastRenderedPageBreak/>
        <w:t>sulle decisioni strategiche dell’aggiudicatario ma anche sulla sua gestione ordinaria.</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26" w:name="point26"/>
      <w:r w:rsidRPr="00EE4D9C">
        <w:rPr>
          <w:rFonts w:ascii="Times New Roman" w:eastAsia="Times New Roman" w:hAnsi="Times New Roman" w:cs="Times New Roman"/>
          <w:color w:val="000000"/>
          <w:sz w:val="27"/>
          <w:szCs w:val="27"/>
          <w:lang w:eastAsia="it-IT"/>
        </w:rPr>
        <w:t>26</w:t>
      </w:r>
      <w:bookmarkEnd w:id="26"/>
      <w:r w:rsidRPr="00EE4D9C">
        <w:rPr>
          <w:rFonts w:ascii="Times New Roman" w:eastAsia="Times New Roman" w:hAnsi="Times New Roman" w:cs="Times New Roman"/>
          <w:color w:val="000000"/>
          <w:sz w:val="27"/>
          <w:szCs w:val="27"/>
          <w:lang w:eastAsia="it-IT"/>
        </w:rPr>
        <w:t xml:space="preserve">      Tuttavia, il giudice del rinvio sottolinea che la particolare natura giuridica del SUCH, in considerazione del fatto che quest’ultimo ha come membri anche istituzioni private di solidarietà sociale, solleva nuove questioni con riferimento alla giurisprudenza della Corte derivante dalla sentenza </w:t>
      </w:r>
      <w:proofErr w:type="spellStart"/>
      <w:r w:rsidRPr="00EE4D9C">
        <w:rPr>
          <w:rFonts w:ascii="Times New Roman" w:eastAsia="Times New Roman" w:hAnsi="Times New Roman" w:cs="Times New Roman"/>
          <w:color w:val="000000"/>
          <w:sz w:val="27"/>
          <w:szCs w:val="27"/>
          <w:lang w:eastAsia="it-IT"/>
        </w:rPr>
        <w:t>Stadt</w:t>
      </w:r>
      <w:proofErr w:type="spellEnd"/>
      <w:r w:rsidRPr="00EE4D9C">
        <w:rPr>
          <w:rFonts w:ascii="Times New Roman" w:eastAsia="Times New Roman" w:hAnsi="Times New Roman" w:cs="Times New Roman"/>
          <w:color w:val="000000"/>
          <w:sz w:val="27"/>
          <w:szCs w:val="27"/>
          <w:lang w:eastAsia="it-IT"/>
        </w:rPr>
        <w:t xml:space="preserve"> Halle e RPL </w:t>
      </w:r>
      <w:proofErr w:type="spellStart"/>
      <w:r w:rsidRPr="00EE4D9C">
        <w:rPr>
          <w:rFonts w:ascii="Times New Roman" w:eastAsia="Times New Roman" w:hAnsi="Times New Roman" w:cs="Times New Roman"/>
          <w:color w:val="000000"/>
          <w:sz w:val="27"/>
          <w:szCs w:val="27"/>
          <w:lang w:eastAsia="it-IT"/>
        </w:rPr>
        <w:t>Lochau</w:t>
      </w:r>
      <w:proofErr w:type="spellEnd"/>
      <w:r w:rsidRPr="00EE4D9C">
        <w:rPr>
          <w:rFonts w:ascii="Times New Roman" w:eastAsia="Times New Roman" w:hAnsi="Times New Roman" w:cs="Times New Roman"/>
          <w:color w:val="000000"/>
          <w:sz w:val="27"/>
          <w:szCs w:val="27"/>
          <w:lang w:eastAsia="it-IT"/>
        </w:rPr>
        <w:t xml:space="preserve"> (EU:C:2005:5). Tale giudice si chiede altresì se tale giurisprudenza presupponga che l’impresa privata che partecipa al capitale di una società a cui partecipa altresì l’amministrazione aggiudicatrice debba avere necessariamente uno scopo di lucro.</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27" w:name="point27"/>
      <w:r w:rsidRPr="00EE4D9C">
        <w:rPr>
          <w:rFonts w:ascii="Times New Roman" w:eastAsia="Times New Roman" w:hAnsi="Times New Roman" w:cs="Times New Roman"/>
          <w:color w:val="000000"/>
          <w:sz w:val="27"/>
          <w:szCs w:val="27"/>
          <w:lang w:eastAsia="it-IT"/>
        </w:rPr>
        <w:t>27</w:t>
      </w:r>
      <w:bookmarkEnd w:id="27"/>
      <w:r w:rsidRPr="00EE4D9C">
        <w:rPr>
          <w:rFonts w:ascii="Times New Roman" w:eastAsia="Times New Roman" w:hAnsi="Times New Roman" w:cs="Times New Roman"/>
          <w:color w:val="000000"/>
          <w:sz w:val="27"/>
          <w:szCs w:val="27"/>
          <w:lang w:eastAsia="it-IT"/>
        </w:rPr>
        <w:t xml:space="preserve">       Il giudice del rinvio si chiede altresì, alla luce delle critiche formulate dal </w:t>
      </w:r>
      <w:proofErr w:type="spellStart"/>
      <w:r w:rsidRPr="00EE4D9C">
        <w:rPr>
          <w:rFonts w:ascii="Times New Roman" w:eastAsia="Times New Roman" w:hAnsi="Times New Roman" w:cs="Times New Roman"/>
          <w:color w:val="000000"/>
          <w:sz w:val="27"/>
          <w:szCs w:val="27"/>
          <w:lang w:eastAsia="it-IT"/>
        </w:rPr>
        <w:t>Tribunal</w:t>
      </w:r>
      <w:proofErr w:type="spellEnd"/>
      <w:r w:rsidRPr="00EE4D9C">
        <w:rPr>
          <w:rFonts w:ascii="Times New Roman" w:eastAsia="Times New Roman" w:hAnsi="Times New Roman" w:cs="Times New Roman"/>
          <w:color w:val="000000"/>
          <w:sz w:val="27"/>
          <w:szCs w:val="27"/>
          <w:lang w:eastAsia="it-IT"/>
        </w:rPr>
        <w:t xml:space="preserve"> de </w:t>
      </w:r>
      <w:proofErr w:type="spellStart"/>
      <w:r w:rsidRPr="00EE4D9C">
        <w:rPr>
          <w:rFonts w:ascii="Times New Roman" w:eastAsia="Times New Roman" w:hAnsi="Times New Roman" w:cs="Times New Roman"/>
          <w:color w:val="000000"/>
          <w:sz w:val="27"/>
          <w:szCs w:val="27"/>
          <w:lang w:eastAsia="it-IT"/>
        </w:rPr>
        <w:t>Contas</w:t>
      </w:r>
      <w:proofErr w:type="spellEnd"/>
      <w:r w:rsidRPr="00EE4D9C">
        <w:rPr>
          <w:rFonts w:ascii="Times New Roman" w:eastAsia="Times New Roman" w:hAnsi="Times New Roman" w:cs="Times New Roman"/>
          <w:color w:val="000000"/>
          <w:sz w:val="27"/>
          <w:szCs w:val="27"/>
          <w:lang w:eastAsia="it-IT"/>
        </w:rPr>
        <w:t>, se la condizione relativa al «controllo analogo» sia soddisfatta nel caso di specie, tenuto conto del numero di membri non pubblici del SUCH, della natura del controllo esercitato su quest’ultimo dalle amministrazioni aggiudicatrici che ne sono membri e dalle amministrazioni pubbliche, delle sue dimensioni e della complessità del suo funzionamento, nonché dell’eventuale possibilità di cui dispone di agire autonomamente rispetto ai poteri pubblici.</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28" w:name="point28"/>
      <w:r w:rsidRPr="00EE4D9C">
        <w:rPr>
          <w:rFonts w:ascii="Times New Roman" w:eastAsia="Times New Roman" w:hAnsi="Times New Roman" w:cs="Times New Roman"/>
          <w:color w:val="000000"/>
          <w:sz w:val="27"/>
          <w:szCs w:val="27"/>
          <w:lang w:eastAsia="it-IT"/>
        </w:rPr>
        <w:t>28</w:t>
      </w:r>
      <w:bookmarkEnd w:id="28"/>
      <w:r w:rsidRPr="00EE4D9C">
        <w:rPr>
          <w:rFonts w:ascii="Times New Roman" w:eastAsia="Times New Roman" w:hAnsi="Times New Roman" w:cs="Times New Roman"/>
          <w:color w:val="000000"/>
          <w:sz w:val="27"/>
          <w:szCs w:val="27"/>
          <w:lang w:eastAsia="it-IT"/>
        </w:rPr>
        <w:t>      Per quanto riguarda la seconda condizione posta dalla giurisprudenza della Corte, vale a dire il requisito che l’ente di cui trattasi realizzi l’essenziale della sua attività con l’amministrazione aggiudicatrice o le amministrazioni aggiudicatrici che lo detengono, il giudice del rinvio rileva che, in conformità di tale giurisprudenza, l’aggiudicatario deve agire come un operatore che si dedica esclusivamente, o quasi esclusivamente, alla soddisfazione dei bisogni dell’amministrazione aggiudicatrice o delle amministrazioni aggiudicatrici e che qualsiasi altra attività deve essere accessoria. Tale giudice si chiede pertanto se tale condizione sia soddisfatta allorché un ente come il SUCH ha la possibilità di prestare servizi, in regime concorrenziale, a terze entità per un ammontare corrispondente al 20% del suo fatturato annuale complessivo dell’esercizio precedente.</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29" w:name="point29"/>
      <w:r w:rsidRPr="00EE4D9C">
        <w:rPr>
          <w:rFonts w:ascii="Times New Roman" w:eastAsia="Times New Roman" w:hAnsi="Times New Roman" w:cs="Times New Roman"/>
          <w:color w:val="000000"/>
          <w:sz w:val="27"/>
          <w:szCs w:val="27"/>
          <w:lang w:eastAsia="it-IT"/>
        </w:rPr>
        <w:t>29</w:t>
      </w:r>
      <w:bookmarkEnd w:id="29"/>
      <w:r w:rsidRPr="00EE4D9C">
        <w:rPr>
          <w:rFonts w:ascii="Times New Roman" w:eastAsia="Times New Roman" w:hAnsi="Times New Roman" w:cs="Times New Roman"/>
          <w:color w:val="000000"/>
          <w:sz w:val="27"/>
          <w:szCs w:val="27"/>
          <w:lang w:eastAsia="it-IT"/>
        </w:rPr>
        <w:t xml:space="preserve">      Alla luce di tali considerazioni e tenuto conto del fatto che il Supremo </w:t>
      </w:r>
      <w:proofErr w:type="spellStart"/>
      <w:r w:rsidRPr="00EE4D9C">
        <w:rPr>
          <w:rFonts w:ascii="Times New Roman" w:eastAsia="Times New Roman" w:hAnsi="Times New Roman" w:cs="Times New Roman"/>
          <w:color w:val="000000"/>
          <w:sz w:val="27"/>
          <w:szCs w:val="27"/>
          <w:lang w:eastAsia="it-IT"/>
        </w:rPr>
        <w:t>Tribunal</w:t>
      </w:r>
      <w:proofErr w:type="spellEnd"/>
      <w:r w:rsidRPr="00EE4D9C">
        <w:rPr>
          <w:rFonts w:ascii="Times New Roman" w:eastAsia="Times New Roman" w:hAnsi="Times New Roman" w:cs="Times New Roman"/>
          <w:color w:val="000000"/>
          <w:sz w:val="27"/>
          <w:szCs w:val="27"/>
          <w:lang w:eastAsia="it-IT"/>
        </w:rPr>
        <w:t xml:space="preserve"> </w:t>
      </w:r>
      <w:proofErr w:type="spellStart"/>
      <w:r w:rsidRPr="00EE4D9C">
        <w:rPr>
          <w:rFonts w:ascii="Times New Roman" w:eastAsia="Times New Roman" w:hAnsi="Times New Roman" w:cs="Times New Roman"/>
          <w:color w:val="000000"/>
          <w:sz w:val="27"/>
          <w:szCs w:val="27"/>
          <w:lang w:eastAsia="it-IT"/>
        </w:rPr>
        <w:t>Administrativo</w:t>
      </w:r>
      <w:proofErr w:type="spellEnd"/>
      <w:r w:rsidRPr="00EE4D9C">
        <w:rPr>
          <w:rFonts w:ascii="Times New Roman" w:eastAsia="Times New Roman" w:hAnsi="Times New Roman" w:cs="Times New Roman"/>
          <w:color w:val="000000"/>
          <w:sz w:val="27"/>
          <w:szCs w:val="27"/>
          <w:lang w:eastAsia="it-IT"/>
        </w:rPr>
        <w:t xml:space="preserve"> è tenuto a pronunciarsi in ultima istanza, tale giudice ha deciso di sospendere il procedimento e di sottoporre alla Corte le questioni pregiudiziali seguenti:</w:t>
      </w:r>
    </w:p>
    <w:p w:rsidR="00EE4D9C" w:rsidRPr="00EE4D9C" w:rsidRDefault="00EE4D9C" w:rsidP="00EE4D9C">
      <w:pPr>
        <w:spacing w:after="240" w:line="240" w:lineRule="auto"/>
        <w:ind w:left="1134" w:hanging="567"/>
        <w:jc w:val="both"/>
        <w:rPr>
          <w:rFonts w:ascii="Times New Roman" w:eastAsia="Times New Roman" w:hAnsi="Times New Roman" w:cs="Times New Roman"/>
          <w:color w:val="000000"/>
          <w:sz w:val="27"/>
          <w:szCs w:val="27"/>
          <w:lang w:eastAsia="it-IT"/>
        </w:rPr>
      </w:pPr>
      <w:r w:rsidRPr="00EE4D9C">
        <w:rPr>
          <w:rFonts w:ascii="Times New Roman" w:eastAsia="Times New Roman" w:hAnsi="Times New Roman" w:cs="Times New Roman"/>
          <w:color w:val="000000"/>
          <w:sz w:val="27"/>
          <w:szCs w:val="27"/>
          <w:lang w:eastAsia="it-IT"/>
        </w:rPr>
        <w:t xml:space="preserve">«1)      Se sia compatibile con la dottrina comunitaria sugli appalti “in </w:t>
      </w:r>
      <w:proofErr w:type="spellStart"/>
      <w:r w:rsidRPr="00EE4D9C">
        <w:rPr>
          <w:rFonts w:ascii="Times New Roman" w:eastAsia="Times New Roman" w:hAnsi="Times New Roman" w:cs="Times New Roman"/>
          <w:color w:val="000000"/>
          <w:sz w:val="27"/>
          <w:szCs w:val="27"/>
          <w:lang w:eastAsia="it-IT"/>
        </w:rPr>
        <w:t>house</w:t>
      </w:r>
      <w:proofErr w:type="spellEnd"/>
      <w:r w:rsidRPr="00EE4D9C">
        <w:rPr>
          <w:rFonts w:ascii="Times New Roman" w:eastAsia="Times New Roman" w:hAnsi="Times New Roman" w:cs="Times New Roman"/>
          <w:color w:val="000000"/>
          <w:sz w:val="27"/>
          <w:szCs w:val="27"/>
          <w:lang w:eastAsia="it-IT"/>
        </w:rPr>
        <w:t xml:space="preserve">” il fatto che un ospedale pubblico affidi, senza seguire la procedura prevista dalla legge per la stipulazione del relativo contratto, ad un’associazione senza scopo di lucro cui esso è associato e che è preordinata alla realizzazione di una funzione di servizio pubblico nell’area della sanità con il fine di assicurare una maggiore efficacia ed efficienza da parte dei suoi soci, la fornitura del servizio di ristoro ospedaliero di sua competenza, trasferendo in tal modo a detta associazione la responsabilità delle sue funzioni in tale ambito, qualora, conformemente allo statuto dell’associazione medesima, possano fare parte di quest’ultima soggetti appartenenti non soltanto al settore pubblico, ma anche </w:t>
      </w:r>
      <w:r w:rsidRPr="00EE4D9C">
        <w:rPr>
          <w:rFonts w:ascii="Times New Roman" w:eastAsia="Times New Roman" w:hAnsi="Times New Roman" w:cs="Times New Roman"/>
          <w:color w:val="000000"/>
          <w:sz w:val="27"/>
          <w:szCs w:val="27"/>
          <w:lang w:eastAsia="it-IT"/>
        </w:rPr>
        <w:lastRenderedPageBreak/>
        <w:t>al settore sociale, e allorché, alla data di affidamento dell’appalto, su un totale di ottantotto membri, appartenevano al settore sociale ventitré enti privati per la promozione della solidarietà sociale (IPSS), senza scopo di lucro, alcuni dei quali erano enti di beneficenza.</w:t>
      </w:r>
    </w:p>
    <w:p w:rsidR="00EE4D9C" w:rsidRPr="00EE4D9C" w:rsidRDefault="00EE4D9C" w:rsidP="00EE4D9C">
      <w:pPr>
        <w:spacing w:after="240" w:line="240" w:lineRule="auto"/>
        <w:ind w:left="1134" w:hanging="567"/>
        <w:jc w:val="both"/>
        <w:rPr>
          <w:rFonts w:ascii="Times New Roman" w:eastAsia="Times New Roman" w:hAnsi="Times New Roman" w:cs="Times New Roman"/>
          <w:color w:val="000000"/>
          <w:sz w:val="27"/>
          <w:szCs w:val="27"/>
          <w:lang w:eastAsia="it-IT"/>
        </w:rPr>
      </w:pPr>
      <w:r w:rsidRPr="00EE4D9C">
        <w:rPr>
          <w:rFonts w:ascii="Times New Roman" w:eastAsia="Times New Roman" w:hAnsi="Times New Roman" w:cs="Times New Roman"/>
          <w:color w:val="000000"/>
          <w:sz w:val="27"/>
          <w:szCs w:val="27"/>
          <w:lang w:eastAsia="it-IT"/>
        </w:rPr>
        <w:t>2)      Se si possa ritenere che un soggetto aggiudicatario sia assoggettato al potere decisionale dei suoi membri pubblici, di modo che questi esercitino, individualmente o congiuntamente, un controllo analogo a quello esercitato sui loro servizi, qualora, conformemente al suo statuto, il soggetto aggiudicatario debba assicurare che la maggioranza dei diritti di voto sia detenuta dai membri che fanno capo al membro del governo responsabile per il settore della sanità e sono assoggettati ai suoi poteri di indirizzo, di controllo e di tutela, e allorché anche la maggioranza dei membri del suo consiglio di amministrazione è formata da membri pubblici.</w:t>
      </w:r>
    </w:p>
    <w:p w:rsidR="00EE4D9C" w:rsidRPr="00EE4D9C" w:rsidRDefault="00EE4D9C" w:rsidP="00EE4D9C">
      <w:pPr>
        <w:spacing w:after="240" w:line="240" w:lineRule="auto"/>
        <w:ind w:left="1134" w:hanging="567"/>
        <w:jc w:val="both"/>
        <w:rPr>
          <w:rFonts w:ascii="Times New Roman" w:eastAsia="Times New Roman" w:hAnsi="Times New Roman" w:cs="Times New Roman"/>
          <w:color w:val="000000"/>
          <w:sz w:val="27"/>
          <w:szCs w:val="27"/>
          <w:lang w:eastAsia="it-IT"/>
        </w:rPr>
      </w:pPr>
      <w:r w:rsidRPr="00EE4D9C">
        <w:rPr>
          <w:rFonts w:ascii="Times New Roman" w:eastAsia="Times New Roman" w:hAnsi="Times New Roman" w:cs="Times New Roman"/>
          <w:color w:val="000000"/>
          <w:sz w:val="27"/>
          <w:szCs w:val="27"/>
          <w:lang w:eastAsia="it-IT"/>
        </w:rPr>
        <w:t xml:space="preserve">3)      Se si possa considerare soddisfatta la condizione relativa al “controllo analogo” alla luce della dottrina comunitaria sugli appalti “in </w:t>
      </w:r>
      <w:proofErr w:type="spellStart"/>
      <w:r w:rsidRPr="00EE4D9C">
        <w:rPr>
          <w:rFonts w:ascii="Times New Roman" w:eastAsia="Times New Roman" w:hAnsi="Times New Roman" w:cs="Times New Roman"/>
          <w:color w:val="000000"/>
          <w:sz w:val="27"/>
          <w:szCs w:val="27"/>
          <w:lang w:eastAsia="it-IT"/>
        </w:rPr>
        <w:t>house</w:t>
      </w:r>
      <w:proofErr w:type="spellEnd"/>
      <w:r w:rsidRPr="00EE4D9C">
        <w:rPr>
          <w:rFonts w:ascii="Times New Roman" w:eastAsia="Times New Roman" w:hAnsi="Times New Roman" w:cs="Times New Roman"/>
          <w:color w:val="000000"/>
          <w:sz w:val="27"/>
          <w:szCs w:val="27"/>
          <w:lang w:eastAsia="it-IT"/>
        </w:rPr>
        <w:t>”, nel caso in cui il soggetto affidatario, conformemente al suo statuto, sia soggetto al potere di tutela del membro del governo responsabile per l’area della sanità, cui spetta designare il presidente ed il vicepresidente del consiglio di amministrazione, approvare le delibere dell’assemblea generale sulla possibilità di contrarre prestiti che implichino un livello di indebitamento netto uguale o superiore al 75% dei propri capitali accertati nell’esercizio precedente, approvare le delibere riguardanti le modifiche dello statuto, approvare le delibere dell’assemblea generale sullo scioglimento del soggetto affidatario e determinare la destinazione dei suoi beni in caso di scioglimento.</w:t>
      </w:r>
    </w:p>
    <w:p w:rsidR="00EE4D9C" w:rsidRPr="00EE4D9C" w:rsidRDefault="00EE4D9C" w:rsidP="00EE4D9C">
      <w:pPr>
        <w:spacing w:after="240" w:line="240" w:lineRule="auto"/>
        <w:ind w:left="1134" w:hanging="567"/>
        <w:jc w:val="both"/>
        <w:rPr>
          <w:rFonts w:ascii="Times New Roman" w:eastAsia="Times New Roman" w:hAnsi="Times New Roman" w:cs="Times New Roman"/>
          <w:color w:val="000000"/>
          <w:sz w:val="27"/>
          <w:szCs w:val="27"/>
          <w:lang w:eastAsia="it-IT"/>
        </w:rPr>
      </w:pPr>
      <w:r w:rsidRPr="00EE4D9C">
        <w:rPr>
          <w:rFonts w:ascii="Times New Roman" w:eastAsia="Times New Roman" w:hAnsi="Times New Roman" w:cs="Times New Roman"/>
          <w:color w:val="000000"/>
          <w:sz w:val="27"/>
          <w:szCs w:val="27"/>
          <w:lang w:eastAsia="it-IT"/>
        </w:rPr>
        <w:t xml:space="preserve">4)      Se il rapporto con i membri pubblici possa essere qualificato come un mero affidamento interno o “in </w:t>
      </w:r>
      <w:proofErr w:type="spellStart"/>
      <w:r w:rsidRPr="00EE4D9C">
        <w:rPr>
          <w:rFonts w:ascii="Times New Roman" w:eastAsia="Times New Roman" w:hAnsi="Times New Roman" w:cs="Times New Roman"/>
          <w:color w:val="000000"/>
          <w:sz w:val="27"/>
          <w:szCs w:val="27"/>
          <w:lang w:eastAsia="it-IT"/>
        </w:rPr>
        <w:t>house</w:t>
      </w:r>
      <w:proofErr w:type="spellEnd"/>
      <w:r w:rsidRPr="00EE4D9C">
        <w:rPr>
          <w:rFonts w:ascii="Times New Roman" w:eastAsia="Times New Roman" w:hAnsi="Times New Roman" w:cs="Times New Roman"/>
          <w:color w:val="000000"/>
          <w:sz w:val="27"/>
          <w:szCs w:val="27"/>
          <w:lang w:eastAsia="it-IT"/>
        </w:rPr>
        <w:t xml:space="preserve">” in virtù del fatto che l’entità affidataria è un’organizzazione di grandi dimensioni e complessità, che opera in tutto il territorio portoghese ed annovera tra i suoi membri la maggior parte dei servizi e delle istituzioni del </w:t>
      </w:r>
      <w:proofErr w:type="spellStart"/>
      <w:r w:rsidRPr="00EE4D9C">
        <w:rPr>
          <w:rFonts w:ascii="Times New Roman" w:eastAsia="Times New Roman" w:hAnsi="Times New Roman" w:cs="Times New Roman"/>
          <w:color w:val="000000"/>
          <w:sz w:val="27"/>
          <w:szCs w:val="27"/>
          <w:lang w:eastAsia="it-IT"/>
        </w:rPr>
        <w:t>Serviço</w:t>
      </w:r>
      <w:proofErr w:type="spellEnd"/>
      <w:r w:rsidRPr="00EE4D9C">
        <w:rPr>
          <w:rFonts w:ascii="Times New Roman" w:eastAsia="Times New Roman" w:hAnsi="Times New Roman" w:cs="Times New Roman"/>
          <w:color w:val="000000"/>
          <w:sz w:val="27"/>
          <w:szCs w:val="27"/>
          <w:lang w:eastAsia="it-IT"/>
        </w:rPr>
        <w:t xml:space="preserve"> </w:t>
      </w:r>
      <w:proofErr w:type="spellStart"/>
      <w:r w:rsidRPr="00EE4D9C">
        <w:rPr>
          <w:rFonts w:ascii="Times New Roman" w:eastAsia="Times New Roman" w:hAnsi="Times New Roman" w:cs="Times New Roman"/>
          <w:color w:val="000000"/>
          <w:sz w:val="27"/>
          <w:szCs w:val="27"/>
          <w:lang w:eastAsia="it-IT"/>
        </w:rPr>
        <w:t>Nacional</w:t>
      </w:r>
      <w:proofErr w:type="spellEnd"/>
      <w:r w:rsidRPr="00EE4D9C">
        <w:rPr>
          <w:rFonts w:ascii="Times New Roman" w:eastAsia="Times New Roman" w:hAnsi="Times New Roman" w:cs="Times New Roman"/>
          <w:color w:val="000000"/>
          <w:sz w:val="27"/>
          <w:szCs w:val="27"/>
          <w:lang w:eastAsia="it-IT"/>
        </w:rPr>
        <w:t xml:space="preserve"> de </w:t>
      </w:r>
      <w:proofErr w:type="spellStart"/>
      <w:r w:rsidRPr="00EE4D9C">
        <w:rPr>
          <w:rFonts w:ascii="Times New Roman" w:eastAsia="Times New Roman" w:hAnsi="Times New Roman" w:cs="Times New Roman"/>
          <w:color w:val="000000"/>
          <w:sz w:val="27"/>
          <w:szCs w:val="27"/>
          <w:lang w:eastAsia="it-IT"/>
        </w:rPr>
        <w:t>Saúde</w:t>
      </w:r>
      <w:proofErr w:type="spellEnd"/>
      <w:r w:rsidRPr="00EE4D9C">
        <w:rPr>
          <w:rFonts w:ascii="Times New Roman" w:eastAsia="Times New Roman" w:hAnsi="Times New Roman" w:cs="Times New Roman"/>
          <w:color w:val="000000"/>
          <w:sz w:val="27"/>
          <w:szCs w:val="27"/>
          <w:lang w:eastAsia="it-IT"/>
        </w:rPr>
        <w:t>, compresi i maggiori centri ospedalieri del paese, con un fatturato previsto di 90 milioni di euro, un’attività che abbraccia complessi e diversi settori di attività, con indicatori chiave delle attività molto rilevanti, che conta più di 3 300 dipendenti e che partecipa a due gruppi di interesse economico e a due società commerciali.</w:t>
      </w:r>
    </w:p>
    <w:p w:rsidR="00EE4D9C" w:rsidRPr="00EE4D9C" w:rsidRDefault="00EE4D9C" w:rsidP="00EE4D9C">
      <w:pPr>
        <w:spacing w:after="240" w:line="240" w:lineRule="auto"/>
        <w:ind w:left="1134" w:hanging="567"/>
        <w:jc w:val="both"/>
        <w:rPr>
          <w:rFonts w:ascii="Times New Roman" w:eastAsia="Times New Roman" w:hAnsi="Times New Roman" w:cs="Times New Roman"/>
          <w:color w:val="000000"/>
          <w:sz w:val="27"/>
          <w:szCs w:val="27"/>
          <w:lang w:eastAsia="it-IT"/>
        </w:rPr>
      </w:pPr>
      <w:r w:rsidRPr="00EE4D9C">
        <w:rPr>
          <w:rFonts w:ascii="Times New Roman" w:eastAsia="Times New Roman" w:hAnsi="Times New Roman" w:cs="Times New Roman"/>
          <w:color w:val="000000"/>
          <w:sz w:val="27"/>
          <w:szCs w:val="27"/>
          <w:lang w:eastAsia="it-IT"/>
        </w:rPr>
        <w:t xml:space="preserve">5)      Se si possano considerare soddisfatte le condizioni per gli appalti “in </w:t>
      </w:r>
      <w:proofErr w:type="spellStart"/>
      <w:r w:rsidRPr="00EE4D9C">
        <w:rPr>
          <w:rFonts w:ascii="Times New Roman" w:eastAsia="Times New Roman" w:hAnsi="Times New Roman" w:cs="Times New Roman"/>
          <w:color w:val="000000"/>
          <w:sz w:val="27"/>
          <w:szCs w:val="27"/>
          <w:lang w:eastAsia="it-IT"/>
        </w:rPr>
        <w:t>house</w:t>
      </w:r>
      <w:proofErr w:type="spellEnd"/>
      <w:r w:rsidRPr="00EE4D9C">
        <w:rPr>
          <w:rFonts w:ascii="Times New Roman" w:eastAsia="Times New Roman" w:hAnsi="Times New Roman" w:cs="Times New Roman"/>
          <w:color w:val="000000"/>
          <w:sz w:val="27"/>
          <w:szCs w:val="27"/>
          <w:lang w:eastAsia="it-IT"/>
        </w:rPr>
        <w:t xml:space="preserve">”, specialmente quella relativa all’“obiettivo essenziale dell’attività svolta” stabilita all’articolo 5, paragrafo 2, lettera b), del codice degli appalti pubblici, in virtù del fatto che il soggetto aggiudicatario può, conformemente al suo statuto, prestare servizi in regime di concorrenza a favore di enti pubblici non associati e di privati, nazionali e stranieri, purché i) ciò non arrechi alcun pregiudizio ai suoi membri e risulti vantaggioso per questi ultimi e per il soggetto aggiudicatario − vuoi sul piano economico vuoi dal punto di vista dell’arricchimento e della valorizzazione delle tecnologie −, e ii) la </w:t>
      </w:r>
      <w:r w:rsidRPr="00EE4D9C">
        <w:rPr>
          <w:rFonts w:ascii="Times New Roman" w:eastAsia="Times New Roman" w:hAnsi="Times New Roman" w:cs="Times New Roman"/>
          <w:color w:val="000000"/>
          <w:sz w:val="27"/>
          <w:szCs w:val="27"/>
          <w:lang w:eastAsia="it-IT"/>
        </w:rPr>
        <w:lastRenderedPageBreak/>
        <w:t>prestazione di tali servizi non rappresenti un volume superiore al 20% del fatturato globale annuale accertato nell’esercizio precedente.</w:t>
      </w:r>
    </w:p>
    <w:p w:rsidR="00EE4D9C" w:rsidRPr="00EE4D9C" w:rsidRDefault="00EE4D9C" w:rsidP="00EE4D9C">
      <w:pPr>
        <w:spacing w:after="240" w:line="240" w:lineRule="auto"/>
        <w:ind w:left="1134" w:hanging="567"/>
        <w:jc w:val="both"/>
        <w:rPr>
          <w:rFonts w:ascii="Times New Roman" w:eastAsia="Times New Roman" w:hAnsi="Times New Roman" w:cs="Times New Roman"/>
          <w:color w:val="000000"/>
          <w:sz w:val="27"/>
          <w:szCs w:val="27"/>
          <w:lang w:eastAsia="it-IT"/>
        </w:rPr>
      </w:pPr>
      <w:r w:rsidRPr="00EE4D9C">
        <w:rPr>
          <w:rFonts w:ascii="Times New Roman" w:eastAsia="Times New Roman" w:hAnsi="Times New Roman" w:cs="Times New Roman"/>
          <w:color w:val="000000"/>
          <w:sz w:val="27"/>
          <w:szCs w:val="27"/>
          <w:lang w:eastAsia="it-IT"/>
        </w:rPr>
        <w:t xml:space="preserve">6)      Qualora nessuna delle risposte alle precedenti questioni, singolarmente presa, sia sufficiente per stabilire se sussistano o meno le condizioni previste dall’articolo 5, paragrafo 2, del codice degli appalti pubblici, se, alla luce della dottrina comunitaria sull’affidamento “in </w:t>
      </w:r>
      <w:proofErr w:type="spellStart"/>
      <w:r w:rsidRPr="00EE4D9C">
        <w:rPr>
          <w:rFonts w:ascii="Times New Roman" w:eastAsia="Times New Roman" w:hAnsi="Times New Roman" w:cs="Times New Roman"/>
          <w:color w:val="000000"/>
          <w:sz w:val="27"/>
          <w:szCs w:val="27"/>
          <w:lang w:eastAsia="it-IT"/>
        </w:rPr>
        <w:t>house</w:t>
      </w:r>
      <w:proofErr w:type="spellEnd"/>
      <w:r w:rsidRPr="00EE4D9C">
        <w:rPr>
          <w:rFonts w:ascii="Times New Roman" w:eastAsia="Times New Roman" w:hAnsi="Times New Roman" w:cs="Times New Roman"/>
          <w:color w:val="000000"/>
          <w:sz w:val="27"/>
          <w:szCs w:val="27"/>
          <w:lang w:eastAsia="it-IT"/>
        </w:rPr>
        <w:t>”, la valutazione congiunta di tali risposte permetta di concludere che tale tipo di affidamento sussiste [nella fattispecie]».</w:t>
      </w:r>
    </w:p>
    <w:p w:rsidR="00EE4D9C" w:rsidRPr="00EE4D9C" w:rsidRDefault="00EE4D9C" w:rsidP="00EE4D9C">
      <w:pPr>
        <w:spacing w:before="480" w:after="240" w:line="240" w:lineRule="auto"/>
        <w:ind w:left="567"/>
        <w:jc w:val="both"/>
        <w:rPr>
          <w:rFonts w:ascii="Times New Roman" w:eastAsia="Times New Roman" w:hAnsi="Times New Roman" w:cs="Times New Roman"/>
          <w:b/>
          <w:bCs/>
          <w:color w:val="000000"/>
          <w:sz w:val="27"/>
          <w:szCs w:val="27"/>
          <w:lang w:eastAsia="it-IT"/>
        </w:rPr>
      </w:pPr>
      <w:r w:rsidRPr="00EE4D9C">
        <w:rPr>
          <w:rFonts w:ascii="Times New Roman" w:eastAsia="Times New Roman" w:hAnsi="Times New Roman" w:cs="Times New Roman"/>
          <w:b/>
          <w:bCs/>
          <w:color w:val="000000"/>
          <w:sz w:val="27"/>
          <w:szCs w:val="27"/>
          <w:lang w:eastAsia="it-IT"/>
        </w:rPr>
        <w:t> Sulle questioni pregiudiziali</w:t>
      </w:r>
    </w:p>
    <w:p w:rsidR="00EE4D9C" w:rsidRPr="00EE4D9C" w:rsidRDefault="00EE4D9C" w:rsidP="00EE4D9C">
      <w:pPr>
        <w:spacing w:after="240" w:line="240" w:lineRule="auto"/>
        <w:ind w:left="567"/>
        <w:jc w:val="both"/>
        <w:rPr>
          <w:rFonts w:ascii="Times New Roman" w:eastAsia="Times New Roman" w:hAnsi="Times New Roman" w:cs="Times New Roman"/>
          <w:i/>
          <w:iCs/>
          <w:color w:val="000000"/>
          <w:sz w:val="27"/>
          <w:szCs w:val="27"/>
          <w:lang w:eastAsia="it-IT"/>
        </w:rPr>
      </w:pPr>
      <w:r w:rsidRPr="00EE4D9C">
        <w:rPr>
          <w:rFonts w:ascii="Times New Roman" w:eastAsia="Times New Roman" w:hAnsi="Times New Roman" w:cs="Times New Roman"/>
          <w:i/>
          <w:iCs/>
          <w:color w:val="000000"/>
          <w:sz w:val="27"/>
          <w:szCs w:val="27"/>
          <w:lang w:eastAsia="it-IT"/>
        </w:rPr>
        <w:t> Osservazione preliminare</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30" w:name="point30"/>
      <w:r w:rsidRPr="00EE4D9C">
        <w:rPr>
          <w:rFonts w:ascii="Times New Roman" w:eastAsia="Times New Roman" w:hAnsi="Times New Roman" w:cs="Times New Roman"/>
          <w:color w:val="000000"/>
          <w:sz w:val="27"/>
          <w:szCs w:val="27"/>
          <w:lang w:eastAsia="it-IT"/>
        </w:rPr>
        <w:t>30</w:t>
      </w:r>
      <w:bookmarkEnd w:id="30"/>
      <w:r w:rsidRPr="00EE4D9C">
        <w:rPr>
          <w:rFonts w:ascii="Times New Roman" w:eastAsia="Times New Roman" w:hAnsi="Times New Roman" w:cs="Times New Roman"/>
          <w:color w:val="000000"/>
          <w:sz w:val="27"/>
          <w:szCs w:val="27"/>
          <w:lang w:eastAsia="it-IT"/>
        </w:rPr>
        <w:t>      A titolo preliminare, occorre rilevare che, ai sensi del capo III del titolo II della direttiva 2004/18, l’applicazione delle disposizioni di quest’ultima varia a seconda della categoria dei servizi di cui trattasi. Secondo le informazioni contenute nel fascicolo messo a disposizione della Corte, sembra che i servizi a cui si riferisce l’accordo del 2011 rientrino nell’allegato II B di tale direttiva.</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31" w:name="point31"/>
      <w:r w:rsidRPr="00EE4D9C">
        <w:rPr>
          <w:rFonts w:ascii="Times New Roman" w:eastAsia="Times New Roman" w:hAnsi="Times New Roman" w:cs="Times New Roman"/>
          <w:color w:val="000000"/>
          <w:sz w:val="27"/>
          <w:szCs w:val="27"/>
          <w:lang w:eastAsia="it-IT"/>
        </w:rPr>
        <w:t>31</w:t>
      </w:r>
      <w:bookmarkEnd w:id="31"/>
      <w:r w:rsidRPr="00EE4D9C">
        <w:rPr>
          <w:rFonts w:ascii="Times New Roman" w:eastAsia="Times New Roman" w:hAnsi="Times New Roman" w:cs="Times New Roman"/>
          <w:color w:val="000000"/>
          <w:sz w:val="27"/>
          <w:szCs w:val="27"/>
          <w:lang w:eastAsia="it-IT"/>
        </w:rPr>
        <w:t xml:space="preserve">      Tuttavia, tale valutazione compete al giudice del rinvio, sulla base degli elementi di fatto della controversia di cui è investito e, comunque, non può influire né sull’applicazione della direttiva 2004/18 in quanto tale, né sull’applicazione dell’eccezione riguardante le operazioni «in </w:t>
      </w:r>
      <w:proofErr w:type="spellStart"/>
      <w:r w:rsidRPr="00EE4D9C">
        <w:rPr>
          <w:rFonts w:ascii="Times New Roman" w:eastAsia="Times New Roman" w:hAnsi="Times New Roman" w:cs="Times New Roman"/>
          <w:color w:val="000000"/>
          <w:sz w:val="27"/>
          <w:szCs w:val="27"/>
          <w:lang w:eastAsia="it-IT"/>
        </w:rPr>
        <w:t>house</w:t>
      </w:r>
      <w:proofErr w:type="spellEnd"/>
      <w:r w:rsidRPr="00EE4D9C">
        <w:rPr>
          <w:rFonts w:ascii="Times New Roman" w:eastAsia="Times New Roman" w:hAnsi="Times New Roman" w:cs="Times New Roman"/>
          <w:color w:val="000000"/>
          <w:sz w:val="27"/>
          <w:szCs w:val="27"/>
          <w:lang w:eastAsia="it-IT"/>
        </w:rPr>
        <w:t>», allorché le condizioni previste dalla giurisprudenza della Corte a tale riguardo sono soddisfatte.</w:t>
      </w:r>
    </w:p>
    <w:p w:rsidR="00EE4D9C" w:rsidRPr="00EE4D9C" w:rsidRDefault="00EE4D9C" w:rsidP="00EE4D9C">
      <w:pPr>
        <w:spacing w:after="240" w:line="240" w:lineRule="auto"/>
        <w:ind w:left="567"/>
        <w:jc w:val="both"/>
        <w:rPr>
          <w:rFonts w:ascii="Times New Roman" w:eastAsia="Times New Roman" w:hAnsi="Times New Roman" w:cs="Times New Roman"/>
          <w:i/>
          <w:iCs/>
          <w:color w:val="000000"/>
          <w:sz w:val="27"/>
          <w:szCs w:val="27"/>
          <w:lang w:eastAsia="it-IT"/>
        </w:rPr>
      </w:pPr>
      <w:r w:rsidRPr="00EE4D9C">
        <w:rPr>
          <w:rFonts w:ascii="Times New Roman" w:eastAsia="Times New Roman" w:hAnsi="Times New Roman" w:cs="Times New Roman"/>
          <w:i/>
          <w:iCs/>
          <w:color w:val="000000"/>
          <w:sz w:val="27"/>
          <w:szCs w:val="27"/>
          <w:lang w:eastAsia="it-IT"/>
        </w:rPr>
        <w:t> Sulla prima questione</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32" w:name="point32"/>
      <w:r w:rsidRPr="00EE4D9C">
        <w:rPr>
          <w:rFonts w:ascii="Times New Roman" w:eastAsia="Times New Roman" w:hAnsi="Times New Roman" w:cs="Times New Roman"/>
          <w:color w:val="000000"/>
          <w:sz w:val="27"/>
          <w:szCs w:val="27"/>
          <w:lang w:eastAsia="it-IT"/>
        </w:rPr>
        <w:t>32</w:t>
      </w:r>
      <w:bookmarkEnd w:id="32"/>
      <w:r w:rsidRPr="00EE4D9C">
        <w:rPr>
          <w:rFonts w:ascii="Times New Roman" w:eastAsia="Times New Roman" w:hAnsi="Times New Roman" w:cs="Times New Roman"/>
          <w:color w:val="000000"/>
          <w:sz w:val="27"/>
          <w:szCs w:val="27"/>
          <w:lang w:eastAsia="it-IT"/>
        </w:rPr>
        <w:t xml:space="preserve">      Con tale questione, il giudice del rinvio chiede, in sostanza, se la condizione relativa al «controllo analogo», applicata dalla Corte affinché l’aggiudicazione di un appalto pubblico possa essere considerata come un’operazione «in </w:t>
      </w:r>
      <w:proofErr w:type="spellStart"/>
      <w:r w:rsidRPr="00EE4D9C">
        <w:rPr>
          <w:rFonts w:ascii="Times New Roman" w:eastAsia="Times New Roman" w:hAnsi="Times New Roman" w:cs="Times New Roman"/>
          <w:color w:val="000000"/>
          <w:sz w:val="27"/>
          <w:szCs w:val="27"/>
          <w:lang w:eastAsia="it-IT"/>
        </w:rPr>
        <w:t>house</w:t>
      </w:r>
      <w:proofErr w:type="spellEnd"/>
      <w:r w:rsidRPr="00EE4D9C">
        <w:rPr>
          <w:rFonts w:ascii="Times New Roman" w:eastAsia="Times New Roman" w:hAnsi="Times New Roman" w:cs="Times New Roman"/>
          <w:color w:val="000000"/>
          <w:sz w:val="27"/>
          <w:szCs w:val="27"/>
          <w:lang w:eastAsia="it-IT"/>
        </w:rPr>
        <w:t>» e quest’ultimo possa essere attribuito direttamente senza applicare la procedura prevista dalla direttiva 2004/18, è soddisfatta allorché l’aggiudicatario è un’associazione di pubblica utilità senza scopo di lucro che, in conformità del suo statuto, può annoverare tra i suoi membri non solo enti facenti parte del settore pubblico, ma anche istituzioni private di solidarietà sociale che svolgono attività senza scopo di lucro e allorché, alla data di aggiudicazione dell’appalto, queste ultime costituivano una parte importante, ancorché minoritaria, del numero di membri dell’associazione aggiudicatrice.</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33" w:name="point33"/>
      <w:r w:rsidRPr="00EE4D9C">
        <w:rPr>
          <w:rFonts w:ascii="Times New Roman" w:eastAsia="Times New Roman" w:hAnsi="Times New Roman" w:cs="Times New Roman"/>
          <w:color w:val="000000"/>
          <w:sz w:val="27"/>
          <w:szCs w:val="27"/>
          <w:lang w:eastAsia="it-IT"/>
        </w:rPr>
        <w:t>33</w:t>
      </w:r>
      <w:bookmarkEnd w:id="33"/>
      <w:r w:rsidRPr="00EE4D9C">
        <w:rPr>
          <w:rFonts w:ascii="Times New Roman" w:eastAsia="Times New Roman" w:hAnsi="Times New Roman" w:cs="Times New Roman"/>
          <w:color w:val="000000"/>
          <w:sz w:val="27"/>
          <w:szCs w:val="27"/>
          <w:lang w:eastAsia="it-IT"/>
        </w:rPr>
        <w:t xml:space="preserve">      A tale proposito, occorre anzitutto ricordare che la circostanza che l’aggiudicatario è costituito in forma di associazione di diritto privato e non persegua scopo di lucro è priva di rilevanza ai fini dell’applicazione delle norme del diritto dell’Unione in materia di appalti pubblici e, di conseguenza, della giurisprudenza della Corte relativa all’eccezione riguardante le operazioni «in </w:t>
      </w:r>
      <w:proofErr w:type="spellStart"/>
      <w:r w:rsidRPr="00EE4D9C">
        <w:rPr>
          <w:rFonts w:ascii="Times New Roman" w:eastAsia="Times New Roman" w:hAnsi="Times New Roman" w:cs="Times New Roman"/>
          <w:color w:val="000000"/>
          <w:sz w:val="27"/>
          <w:szCs w:val="27"/>
          <w:lang w:eastAsia="it-IT"/>
        </w:rPr>
        <w:t>house</w:t>
      </w:r>
      <w:proofErr w:type="spellEnd"/>
      <w:r w:rsidRPr="00EE4D9C">
        <w:rPr>
          <w:rFonts w:ascii="Times New Roman" w:eastAsia="Times New Roman" w:hAnsi="Times New Roman" w:cs="Times New Roman"/>
          <w:color w:val="000000"/>
          <w:sz w:val="27"/>
          <w:szCs w:val="27"/>
          <w:lang w:eastAsia="it-IT"/>
        </w:rPr>
        <w:t xml:space="preserve">». Infatti, una simile circostanza non esclude che l’entità aggiudicatrice di cui </w:t>
      </w:r>
      <w:r w:rsidRPr="00EE4D9C">
        <w:rPr>
          <w:rFonts w:ascii="Times New Roman" w:eastAsia="Times New Roman" w:hAnsi="Times New Roman" w:cs="Times New Roman"/>
          <w:color w:val="000000"/>
          <w:sz w:val="27"/>
          <w:szCs w:val="27"/>
          <w:lang w:eastAsia="it-IT"/>
        </w:rPr>
        <w:lastRenderedPageBreak/>
        <w:t>trattasi possa esercitare un’attività economica (v., in tal senso, sentenze, sentenze Sea, C</w:t>
      </w:r>
      <w:r w:rsidRPr="00EE4D9C">
        <w:rPr>
          <w:rFonts w:ascii="Times New Roman" w:eastAsia="Times New Roman" w:hAnsi="Times New Roman" w:cs="Times New Roman"/>
          <w:color w:val="000000"/>
          <w:sz w:val="27"/>
          <w:szCs w:val="27"/>
          <w:lang w:eastAsia="it-IT"/>
        </w:rPr>
        <w:noBreakHyphen/>
        <w:t xml:space="preserve">537/07, EU:C:2009:532, punto 41, e </w:t>
      </w:r>
      <w:proofErr w:type="spellStart"/>
      <w:r w:rsidRPr="00EE4D9C">
        <w:rPr>
          <w:rFonts w:ascii="Times New Roman" w:eastAsia="Times New Roman" w:hAnsi="Times New Roman" w:cs="Times New Roman"/>
          <w:color w:val="000000"/>
          <w:sz w:val="27"/>
          <w:szCs w:val="27"/>
          <w:lang w:eastAsia="it-IT"/>
        </w:rPr>
        <w:t>CoNISMa</w:t>
      </w:r>
      <w:proofErr w:type="spellEnd"/>
      <w:r w:rsidRPr="00EE4D9C">
        <w:rPr>
          <w:rFonts w:ascii="Times New Roman" w:eastAsia="Times New Roman" w:hAnsi="Times New Roman" w:cs="Times New Roman"/>
          <w:color w:val="000000"/>
          <w:sz w:val="27"/>
          <w:szCs w:val="27"/>
          <w:lang w:eastAsia="it-IT"/>
        </w:rPr>
        <w:t>, C</w:t>
      </w:r>
      <w:r w:rsidRPr="00EE4D9C">
        <w:rPr>
          <w:rFonts w:ascii="Times New Roman" w:eastAsia="Times New Roman" w:hAnsi="Times New Roman" w:cs="Times New Roman"/>
          <w:color w:val="000000"/>
          <w:sz w:val="27"/>
          <w:szCs w:val="27"/>
          <w:lang w:eastAsia="it-IT"/>
        </w:rPr>
        <w:noBreakHyphen/>
        <w:t>305/08, EU:C:2009:807, punto 45).</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34" w:name="point34"/>
      <w:r w:rsidRPr="00EE4D9C">
        <w:rPr>
          <w:rFonts w:ascii="Times New Roman" w:eastAsia="Times New Roman" w:hAnsi="Times New Roman" w:cs="Times New Roman"/>
          <w:color w:val="000000"/>
          <w:sz w:val="27"/>
          <w:szCs w:val="27"/>
          <w:lang w:eastAsia="it-IT"/>
        </w:rPr>
        <w:t>34</w:t>
      </w:r>
      <w:bookmarkEnd w:id="34"/>
      <w:r w:rsidRPr="00EE4D9C">
        <w:rPr>
          <w:rFonts w:ascii="Times New Roman" w:eastAsia="Times New Roman" w:hAnsi="Times New Roman" w:cs="Times New Roman"/>
          <w:color w:val="000000"/>
          <w:sz w:val="27"/>
          <w:szCs w:val="27"/>
          <w:lang w:eastAsia="it-IT"/>
        </w:rPr>
        <w:t xml:space="preserve">      Occorre rilevare, poi, che la questione che si pone essenzialmente nel caso di specie è quella di stabilire se la giurisprudenza espressa nella sentenza </w:t>
      </w:r>
      <w:proofErr w:type="spellStart"/>
      <w:r w:rsidRPr="00EE4D9C">
        <w:rPr>
          <w:rFonts w:ascii="Times New Roman" w:eastAsia="Times New Roman" w:hAnsi="Times New Roman" w:cs="Times New Roman"/>
          <w:color w:val="000000"/>
          <w:sz w:val="27"/>
          <w:szCs w:val="27"/>
          <w:lang w:eastAsia="it-IT"/>
        </w:rPr>
        <w:t>Stadt</w:t>
      </w:r>
      <w:proofErr w:type="spellEnd"/>
      <w:r w:rsidRPr="00EE4D9C">
        <w:rPr>
          <w:rFonts w:ascii="Times New Roman" w:eastAsia="Times New Roman" w:hAnsi="Times New Roman" w:cs="Times New Roman"/>
          <w:color w:val="000000"/>
          <w:sz w:val="27"/>
          <w:szCs w:val="27"/>
          <w:lang w:eastAsia="it-IT"/>
        </w:rPr>
        <w:t xml:space="preserve"> Halle e RPL </w:t>
      </w:r>
      <w:proofErr w:type="spellStart"/>
      <w:r w:rsidRPr="00EE4D9C">
        <w:rPr>
          <w:rFonts w:ascii="Times New Roman" w:eastAsia="Times New Roman" w:hAnsi="Times New Roman" w:cs="Times New Roman"/>
          <w:color w:val="000000"/>
          <w:sz w:val="27"/>
          <w:szCs w:val="27"/>
          <w:lang w:eastAsia="it-IT"/>
        </w:rPr>
        <w:t>Lochau</w:t>
      </w:r>
      <w:proofErr w:type="spellEnd"/>
      <w:r w:rsidRPr="00EE4D9C">
        <w:rPr>
          <w:rFonts w:ascii="Times New Roman" w:eastAsia="Times New Roman" w:hAnsi="Times New Roman" w:cs="Times New Roman"/>
          <w:color w:val="000000"/>
          <w:sz w:val="27"/>
          <w:szCs w:val="27"/>
          <w:lang w:eastAsia="it-IT"/>
        </w:rPr>
        <w:t xml:space="preserve"> (EU:C:2005:5) si applichi, dal momento che il SUCH non è costituito in forma di società e non è quindi dotato di un capitale sociale e che i suoi membri, non rientrando nel settore sociale, non sono imprese nei termini di cui alla citata sentenza.</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35" w:name="point35"/>
      <w:r w:rsidRPr="00EE4D9C">
        <w:rPr>
          <w:rFonts w:ascii="Times New Roman" w:eastAsia="Times New Roman" w:hAnsi="Times New Roman" w:cs="Times New Roman"/>
          <w:color w:val="000000"/>
          <w:sz w:val="27"/>
          <w:szCs w:val="27"/>
          <w:lang w:eastAsia="it-IT"/>
        </w:rPr>
        <w:t>35</w:t>
      </w:r>
      <w:bookmarkEnd w:id="35"/>
      <w:r w:rsidRPr="00EE4D9C">
        <w:rPr>
          <w:rFonts w:ascii="Times New Roman" w:eastAsia="Times New Roman" w:hAnsi="Times New Roman" w:cs="Times New Roman"/>
          <w:color w:val="000000"/>
          <w:sz w:val="27"/>
          <w:szCs w:val="27"/>
          <w:lang w:eastAsia="it-IT"/>
        </w:rPr>
        <w:t xml:space="preserve">      A tale proposito, occorre sottolineare che l’eccezione riguardante l’affidamento «in </w:t>
      </w:r>
      <w:proofErr w:type="spellStart"/>
      <w:r w:rsidRPr="00EE4D9C">
        <w:rPr>
          <w:rFonts w:ascii="Times New Roman" w:eastAsia="Times New Roman" w:hAnsi="Times New Roman" w:cs="Times New Roman"/>
          <w:color w:val="000000"/>
          <w:sz w:val="27"/>
          <w:szCs w:val="27"/>
          <w:lang w:eastAsia="it-IT"/>
        </w:rPr>
        <w:t>house</w:t>
      </w:r>
      <w:proofErr w:type="spellEnd"/>
      <w:r w:rsidRPr="00EE4D9C">
        <w:rPr>
          <w:rFonts w:ascii="Times New Roman" w:eastAsia="Times New Roman" w:hAnsi="Times New Roman" w:cs="Times New Roman"/>
          <w:color w:val="000000"/>
          <w:sz w:val="27"/>
          <w:szCs w:val="27"/>
          <w:lang w:eastAsia="it-IT"/>
        </w:rPr>
        <w:t>» è fondata sull’impostazione secondo cui, in tali casi, si può considerare che la pubblica amministrazione aggiudicatrice ha fatto ricorso alle proprie risorse per svolgere le sue funzioni di interesse pubblico.</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36" w:name="point36"/>
      <w:r w:rsidRPr="00EE4D9C">
        <w:rPr>
          <w:rFonts w:ascii="Times New Roman" w:eastAsia="Times New Roman" w:hAnsi="Times New Roman" w:cs="Times New Roman"/>
          <w:color w:val="000000"/>
          <w:sz w:val="27"/>
          <w:szCs w:val="27"/>
          <w:lang w:eastAsia="it-IT"/>
        </w:rPr>
        <w:t>36</w:t>
      </w:r>
      <w:bookmarkEnd w:id="36"/>
      <w:r w:rsidRPr="00EE4D9C">
        <w:rPr>
          <w:rFonts w:ascii="Times New Roman" w:eastAsia="Times New Roman" w:hAnsi="Times New Roman" w:cs="Times New Roman"/>
          <w:color w:val="000000"/>
          <w:sz w:val="27"/>
          <w:szCs w:val="27"/>
          <w:lang w:eastAsia="it-IT"/>
        </w:rPr>
        <w:t xml:space="preserve">      Uno dei motivi che hanno portato la Corte alle conclusioni espresse nella sentenza </w:t>
      </w:r>
      <w:proofErr w:type="spellStart"/>
      <w:r w:rsidRPr="00EE4D9C">
        <w:rPr>
          <w:rFonts w:ascii="Times New Roman" w:eastAsia="Times New Roman" w:hAnsi="Times New Roman" w:cs="Times New Roman"/>
          <w:color w:val="000000"/>
          <w:sz w:val="27"/>
          <w:szCs w:val="27"/>
          <w:lang w:eastAsia="it-IT"/>
        </w:rPr>
        <w:t>Stadt</w:t>
      </w:r>
      <w:proofErr w:type="spellEnd"/>
      <w:r w:rsidRPr="00EE4D9C">
        <w:rPr>
          <w:rFonts w:ascii="Times New Roman" w:eastAsia="Times New Roman" w:hAnsi="Times New Roman" w:cs="Times New Roman"/>
          <w:color w:val="000000"/>
          <w:sz w:val="27"/>
          <w:szCs w:val="27"/>
          <w:lang w:eastAsia="it-IT"/>
        </w:rPr>
        <w:t xml:space="preserve"> Halle e RPL </w:t>
      </w:r>
      <w:proofErr w:type="spellStart"/>
      <w:r w:rsidRPr="00EE4D9C">
        <w:rPr>
          <w:rFonts w:ascii="Times New Roman" w:eastAsia="Times New Roman" w:hAnsi="Times New Roman" w:cs="Times New Roman"/>
          <w:color w:val="000000"/>
          <w:sz w:val="27"/>
          <w:szCs w:val="27"/>
          <w:lang w:eastAsia="it-IT"/>
        </w:rPr>
        <w:t>Lochau</w:t>
      </w:r>
      <w:proofErr w:type="spellEnd"/>
      <w:r w:rsidRPr="00EE4D9C">
        <w:rPr>
          <w:rFonts w:ascii="Times New Roman" w:eastAsia="Times New Roman" w:hAnsi="Times New Roman" w:cs="Times New Roman"/>
          <w:color w:val="000000"/>
          <w:sz w:val="27"/>
          <w:szCs w:val="27"/>
          <w:lang w:eastAsia="it-IT"/>
        </w:rPr>
        <w:t xml:space="preserve"> (EU:C:2005:5) era fondato non sulla forma giuridica degli enti privati facenti parte dell’entità aggiudicatrice e neppure sulla finalità commerciale di essi, ma sul fatto che tali enti privati seguivano considerazioni inerenti ai loro interessi privati, che erano di natura diversa da quella delle finalità di interesse pubblico perseguite dall’amministrazione aggiudicatrice. Per tale motivo, quest’ultimo non poteva esercitare sull’aggiudicatario un controllo analogo a quello che esercitava sui propri servizi (v., in tal senso, sentenza </w:t>
      </w:r>
      <w:proofErr w:type="spellStart"/>
      <w:r w:rsidRPr="00EE4D9C">
        <w:rPr>
          <w:rFonts w:ascii="Times New Roman" w:eastAsia="Times New Roman" w:hAnsi="Times New Roman" w:cs="Times New Roman"/>
          <w:color w:val="000000"/>
          <w:sz w:val="27"/>
          <w:szCs w:val="27"/>
          <w:lang w:eastAsia="it-IT"/>
        </w:rPr>
        <w:t>Stadt</w:t>
      </w:r>
      <w:proofErr w:type="spellEnd"/>
      <w:r w:rsidRPr="00EE4D9C">
        <w:rPr>
          <w:rFonts w:ascii="Times New Roman" w:eastAsia="Times New Roman" w:hAnsi="Times New Roman" w:cs="Times New Roman"/>
          <w:color w:val="000000"/>
          <w:sz w:val="27"/>
          <w:szCs w:val="27"/>
          <w:lang w:eastAsia="it-IT"/>
        </w:rPr>
        <w:t xml:space="preserve"> Halle e RPL </w:t>
      </w:r>
      <w:proofErr w:type="spellStart"/>
      <w:r w:rsidRPr="00EE4D9C">
        <w:rPr>
          <w:rFonts w:ascii="Times New Roman" w:eastAsia="Times New Roman" w:hAnsi="Times New Roman" w:cs="Times New Roman"/>
          <w:color w:val="000000"/>
          <w:sz w:val="27"/>
          <w:szCs w:val="27"/>
          <w:lang w:eastAsia="it-IT"/>
        </w:rPr>
        <w:t>Lochau</w:t>
      </w:r>
      <w:proofErr w:type="spellEnd"/>
      <w:r w:rsidRPr="00EE4D9C">
        <w:rPr>
          <w:rFonts w:ascii="Times New Roman" w:eastAsia="Times New Roman" w:hAnsi="Times New Roman" w:cs="Times New Roman"/>
          <w:color w:val="000000"/>
          <w:sz w:val="27"/>
          <w:szCs w:val="27"/>
          <w:lang w:eastAsia="it-IT"/>
        </w:rPr>
        <w:t>, EU:C:2005:5, punti 49 e 50).</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37" w:name="point37"/>
      <w:r w:rsidRPr="00EE4D9C">
        <w:rPr>
          <w:rFonts w:ascii="Times New Roman" w:eastAsia="Times New Roman" w:hAnsi="Times New Roman" w:cs="Times New Roman"/>
          <w:color w:val="000000"/>
          <w:sz w:val="27"/>
          <w:szCs w:val="27"/>
          <w:lang w:eastAsia="it-IT"/>
        </w:rPr>
        <w:t>37</w:t>
      </w:r>
      <w:bookmarkEnd w:id="37"/>
      <w:r w:rsidRPr="00EE4D9C">
        <w:rPr>
          <w:rFonts w:ascii="Times New Roman" w:eastAsia="Times New Roman" w:hAnsi="Times New Roman" w:cs="Times New Roman"/>
          <w:color w:val="000000"/>
          <w:sz w:val="27"/>
          <w:szCs w:val="27"/>
          <w:lang w:eastAsia="it-IT"/>
        </w:rPr>
        <w:t xml:space="preserve">      Alla luce della circostanza, rilevata dal giudice del rinvio, secondo cui il SUCH è un’associazione senza scopo di lucro e i soci privati, che facevano parte di tale associazione al momento dell’aggiudicazione dell’appalto di cui al procedimento principale, erano istituti privati di solidarietà sociale, anch’essi senza scopo di lucro, occorre rilevare che il fatto che la Corte si sia riferita nella sentenza </w:t>
      </w:r>
      <w:proofErr w:type="spellStart"/>
      <w:r w:rsidRPr="00EE4D9C">
        <w:rPr>
          <w:rFonts w:ascii="Times New Roman" w:eastAsia="Times New Roman" w:hAnsi="Times New Roman" w:cs="Times New Roman"/>
          <w:color w:val="000000"/>
          <w:sz w:val="27"/>
          <w:szCs w:val="27"/>
          <w:lang w:eastAsia="it-IT"/>
        </w:rPr>
        <w:t>Stadt</w:t>
      </w:r>
      <w:proofErr w:type="spellEnd"/>
      <w:r w:rsidRPr="00EE4D9C">
        <w:rPr>
          <w:rFonts w:ascii="Times New Roman" w:eastAsia="Times New Roman" w:hAnsi="Times New Roman" w:cs="Times New Roman"/>
          <w:color w:val="000000"/>
          <w:sz w:val="27"/>
          <w:szCs w:val="27"/>
          <w:lang w:eastAsia="it-IT"/>
        </w:rPr>
        <w:t xml:space="preserve"> Halle e RPL </w:t>
      </w:r>
      <w:proofErr w:type="spellStart"/>
      <w:r w:rsidRPr="00EE4D9C">
        <w:rPr>
          <w:rFonts w:ascii="Times New Roman" w:eastAsia="Times New Roman" w:hAnsi="Times New Roman" w:cs="Times New Roman"/>
          <w:color w:val="000000"/>
          <w:sz w:val="27"/>
          <w:szCs w:val="27"/>
          <w:lang w:eastAsia="it-IT"/>
        </w:rPr>
        <w:t>Lochau</w:t>
      </w:r>
      <w:proofErr w:type="spellEnd"/>
      <w:r w:rsidRPr="00EE4D9C">
        <w:rPr>
          <w:rFonts w:ascii="Times New Roman" w:eastAsia="Times New Roman" w:hAnsi="Times New Roman" w:cs="Times New Roman"/>
          <w:color w:val="000000"/>
          <w:sz w:val="27"/>
          <w:szCs w:val="27"/>
          <w:lang w:eastAsia="it-IT"/>
        </w:rPr>
        <w:t xml:space="preserve"> (EU:C:2005:5) a nozioni come quella di «impresa» o di «capitale sociale» è dovuto alle circostanze della causa che ha dato luogo a tale sentenza e non significa che la Corte abbia voluto limitare le sue conclusioni ai soli casi della partecipazione nell’ente aggiudicatore, di imprese commerciali aventi scopo di lucro.</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38" w:name="point38"/>
      <w:r w:rsidRPr="00EE4D9C">
        <w:rPr>
          <w:rFonts w:ascii="Times New Roman" w:eastAsia="Times New Roman" w:hAnsi="Times New Roman" w:cs="Times New Roman"/>
          <w:color w:val="000000"/>
          <w:sz w:val="27"/>
          <w:szCs w:val="27"/>
          <w:lang w:eastAsia="it-IT"/>
        </w:rPr>
        <w:t>38</w:t>
      </w:r>
      <w:bookmarkEnd w:id="38"/>
      <w:r w:rsidRPr="00EE4D9C">
        <w:rPr>
          <w:rFonts w:ascii="Times New Roman" w:eastAsia="Times New Roman" w:hAnsi="Times New Roman" w:cs="Times New Roman"/>
          <w:color w:val="000000"/>
          <w:sz w:val="27"/>
          <w:szCs w:val="27"/>
          <w:lang w:eastAsia="it-IT"/>
        </w:rPr>
        <w:t xml:space="preserve">      Un’altra ragione che ha condotto la Corte alle conclusioni esposte nella sentenza </w:t>
      </w:r>
      <w:proofErr w:type="spellStart"/>
      <w:r w:rsidRPr="00EE4D9C">
        <w:rPr>
          <w:rFonts w:ascii="Times New Roman" w:eastAsia="Times New Roman" w:hAnsi="Times New Roman" w:cs="Times New Roman"/>
          <w:color w:val="000000"/>
          <w:sz w:val="27"/>
          <w:szCs w:val="27"/>
          <w:lang w:eastAsia="it-IT"/>
        </w:rPr>
        <w:t>Stadt</w:t>
      </w:r>
      <w:proofErr w:type="spellEnd"/>
      <w:r w:rsidRPr="00EE4D9C">
        <w:rPr>
          <w:rFonts w:ascii="Times New Roman" w:eastAsia="Times New Roman" w:hAnsi="Times New Roman" w:cs="Times New Roman"/>
          <w:color w:val="000000"/>
          <w:sz w:val="27"/>
          <w:szCs w:val="27"/>
          <w:lang w:eastAsia="it-IT"/>
        </w:rPr>
        <w:t xml:space="preserve"> Halle e RPL </w:t>
      </w:r>
      <w:proofErr w:type="spellStart"/>
      <w:r w:rsidRPr="00EE4D9C">
        <w:rPr>
          <w:rFonts w:ascii="Times New Roman" w:eastAsia="Times New Roman" w:hAnsi="Times New Roman" w:cs="Times New Roman"/>
          <w:color w:val="000000"/>
          <w:sz w:val="27"/>
          <w:szCs w:val="27"/>
          <w:lang w:eastAsia="it-IT"/>
        </w:rPr>
        <w:t>Lochau</w:t>
      </w:r>
      <w:proofErr w:type="spellEnd"/>
      <w:r w:rsidRPr="00EE4D9C">
        <w:rPr>
          <w:rFonts w:ascii="Times New Roman" w:eastAsia="Times New Roman" w:hAnsi="Times New Roman" w:cs="Times New Roman"/>
          <w:color w:val="000000"/>
          <w:sz w:val="27"/>
          <w:szCs w:val="27"/>
          <w:lang w:eastAsia="it-IT"/>
        </w:rPr>
        <w:t xml:space="preserve"> (EU:C:2005:5) è che l’aggiudicazione diretta di un appalto offrirebbe all’entità privata presente all’interno dell’entità aggiudicatrice un vantaggio rispetto ai suoi concorrenti (v., in tal senso, sentenza </w:t>
      </w:r>
      <w:proofErr w:type="spellStart"/>
      <w:r w:rsidRPr="00EE4D9C">
        <w:rPr>
          <w:rFonts w:ascii="Times New Roman" w:eastAsia="Times New Roman" w:hAnsi="Times New Roman" w:cs="Times New Roman"/>
          <w:color w:val="000000"/>
          <w:sz w:val="27"/>
          <w:szCs w:val="27"/>
          <w:lang w:eastAsia="it-IT"/>
        </w:rPr>
        <w:t>Stadt</w:t>
      </w:r>
      <w:proofErr w:type="spellEnd"/>
      <w:r w:rsidRPr="00EE4D9C">
        <w:rPr>
          <w:rFonts w:ascii="Times New Roman" w:eastAsia="Times New Roman" w:hAnsi="Times New Roman" w:cs="Times New Roman"/>
          <w:color w:val="000000"/>
          <w:sz w:val="27"/>
          <w:szCs w:val="27"/>
          <w:lang w:eastAsia="it-IT"/>
        </w:rPr>
        <w:t xml:space="preserve"> Halle e RPL </w:t>
      </w:r>
      <w:proofErr w:type="spellStart"/>
      <w:r w:rsidRPr="00EE4D9C">
        <w:rPr>
          <w:rFonts w:ascii="Times New Roman" w:eastAsia="Times New Roman" w:hAnsi="Times New Roman" w:cs="Times New Roman"/>
          <w:color w:val="000000"/>
          <w:sz w:val="27"/>
          <w:szCs w:val="27"/>
          <w:lang w:eastAsia="it-IT"/>
        </w:rPr>
        <w:t>Lochau</w:t>
      </w:r>
      <w:proofErr w:type="spellEnd"/>
      <w:r w:rsidRPr="00EE4D9C">
        <w:rPr>
          <w:rFonts w:ascii="Times New Roman" w:eastAsia="Times New Roman" w:hAnsi="Times New Roman" w:cs="Times New Roman"/>
          <w:color w:val="000000"/>
          <w:sz w:val="27"/>
          <w:szCs w:val="27"/>
          <w:lang w:eastAsia="it-IT"/>
        </w:rPr>
        <w:t>, EU:C:2005:5, punto 51).</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39" w:name="point39"/>
      <w:r w:rsidRPr="00EE4D9C">
        <w:rPr>
          <w:rFonts w:ascii="Times New Roman" w:eastAsia="Times New Roman" w:hAnsi="Times New Roman" w:cs="Times New Roman"/>
          <w:color w:val="000000"/>
          <w:sz w:val="27"/>
          <w:szCs w:val="27"/>
          <w:lang w:eastAsia="it-IT"/>
        </w:rPr>
        <w:t>39</w:t>
      </w:r>
      <w:bookmarkEnd w:id="39"/>
      <w:r w:rsidRPr="00EE4D9C">
        <w:rPr>
          <w:rFonts w:ascii="Times New Roman" w:eastAsia="Times New Roman" w:hAnsi="Times New Roman" w:cs="Times New Roman"/>
          <w:color w:val="000000"/>
          <w:sz w:val="27"/>
          <w:szCs w:val="27"/>
          <w:lang w:eastAsia="it-IT"/>
        </w:rPr>
        <w:t xml:space="preserve">      Nella causa principale i membri privati del SUCH perseguono interessi e finalità che, per quanto apprezzabili da un punto di vista sociale, sono di diversa natura </w:t>
      </w:r>
      <w:r w:rsidRPr="00EE4D9C">
        <w:rPr>
          <w:rFonts w:ascii="Times New Roman" w:eastAsia="Times New Roman" w:hAnsi="Times New Roman" w:cs="Times New Roman"/>
          <w:color w:val="000000"/>
          <w:sz w:val="27"/>
          <w:szCs w:val="27"/>
          <w:lang w:eastAsia="it-IT"/>
        </w:rPr>
        <w:lastRenderedPageBreak/>
        <w:t>rispetto agli obiettivi di interesse pubblico perseguiti dalle amministrazioni aggiudicatrici che sono contemporaneamente membri del SUCH.</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40" w:name="point40"/>
      <w:r w:rsidRPr="00EE4D9C">
        <w:rPr>
          <w:rFonts w:ascii="Times New Roman" w:eastAsia="Times New Roman" w:hAnsi="Times New Roman" w:cs="Times New Roman"/>
          <w:color w:val="000000"/>
          <w:sz w:val="27"/>
          <w:szCs w:val="27"/>
          <w:lang w:eastAsia="it-IT"/>
        </w:rPr>
        <w:t>40</w:t>
      </w:r>
      <w:bookmarkEnd w:id="40"/>
      <w:r w:rsidRPr="00EE4D9C">
        <w:rPr>
          <w:rFonts w:ascii="Times New Roman" w:eastAsia="Times New Roman" w:hAnsi="Times New Roman" w:cs="Times New Roman"/>
          <w:color w:val="000000"/>
          <w:sz w:val="27"/>
          <w:szCs w:val="27"/>
          <w:lang w:eastAsia="it-IT"/>
        </w:rPr>
        <w:t>      Inoltre, come ha rilevato l’avvocato generale al paragrafo 37 delle sue conclusioni, non è escluso che i membri privati del SUCH, nonostante il loro status di associazioni caritative senza scopo di lucro, possano esercitare un’attività economica in concorrenza con altri operatori. Di conseguenza, l’attribuzione diretta di un appalto al SUCH sarebbe suscettibile di offrire ai membri privati di quest’ultimo un vantaggio concorrenziale.</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41" w:name="point41"/>
      <w:r w:rsidRPr="00EE4D9C">
        <w:rPr>
          <w:rFonts w:ascii="Times New Roman" w:eastAsia="Times New Roman" w:hAnsi="Times New Roman" w:cs="Times New Roman"/>
          <w:color w:val="000000"/>
          <w:sz w:val="27"/>
          <w:szCs w:val="27"/>
          <w:lang w:eastAsia="it-IT"/>
        </w:rPr>
        <w:t>41</w:t>
      </w:r>
      <w:bookmarkEnd w:id="41"/>
      <w:r w:rsidRPr="00EE4D9C">
        <w:rPr>
          <w:rFonts w:ascii="Times New Roman" w:eastAsia="Times New Roman" w:hAnsi="Times New Roman" w:cs="Times New Roman"/>
          <w:color w:val="000000"/>
          <w:sz w:val="27"/>
          <w:szCs w:val="27"/>
          <w:lang w:eastAsia="it-IT"/>
        </w:rPr>
        <w:t>      Pertanto, le considerazioni che hanno indotto la Corte ad adottare le conclusioni esposte ai punti 36 e 38 della presente sentenza sono altresì valide in circostanze come quelle del procedimento principale.</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42" w:name="point42"/>
      <w:r w:rsidRPr="00EE4D9C">
        <w:rPr>
          <w:rFonts w:ascii="Times New Roman" w:eastAsia="Times New Roman" w:hAnsi="Times New Roman" w:cs="Times New Roman"/>
          <w:color w:val="000000"/>
          <w:sz w:val="27"/>
          <w:szCs w:val="27"/>
          <w:lang w:eastAsia="it-IT"/>
        </w:rPr>
        <w:t>42</w:t>
      </w:r>
      <w:bookmarkEnd w:id="42"/>
      <w:r w:rsidRPr="00EE4D9C">
        <w:rPr>
          <w:rFonts w:ascii="Times New Roman" w:eastAsia="Times New Roman" w:hAnsi="Times New Roman" w:cs="Times New Roman"/>
          <w:color w:val="000000"/>
          <w:sz w:val="27"/>
          <w:szCs w:val="27"/>
          <w:lang w:eastAsia="it-IT"/>
        </w:rPr>
        <w:t xml:space="preserve">      La circostanza che la partecipazione dei membri privati all’ente aggiudicatario sia solo minoritaria, non può rimettere in discussione tali conclusioni (v., in tal senso, sentenza </w:t>
      </w:r>
      <w:proofErr w:type="spellStart"/>
      <w:r w:rsidRPr="00EE4D9C">
        <w:rPr>
          <w:rFonts w:ascii="Times New Roman" w:eastAsia="Times New Roman" w:hAnsi="Times New Roman" w:cs="Times New Roman"/>
          <w:color w:val="000000"/>
          <w:sz w:val="27"/>
          <w:szCs w:val="27"/>
          <w:lang w:eastAsia="it-IT"/>
        </w:rPr>
        <w:t>Stadt</w:t>
      </w:r>
      <w:proofErr w:type="spellEnd"/>
      <w:r w:rsidRPr="00EE4D9C">
        <w:rPr>
          <w:rFonts w:ascii="Times New Roman" w:eastAsia="Times New Roman" w:hAnsi="Times New Roman" w:cs="Times New Roman"/>
          <w:color w:val="000000"/>
          <w:sz w:val="27"/>
          <w:szCs w:val="27"/>
          <w:lang w:eastAsia="it-IT"/>
        </w:rPr>
        <w:t xml:space="preserve"> Halle e RPL </w:t>
      </w:r>
      <w:proofErr w:type="spellStart"/>
      <w:r w:rsidRPr="00EE4D9C">
        <w:rPr>
          <w:rFonts w:ascii="Times New Roman" w:eastAsia="Times New Roman" w:hAnsi="Times New Roman" w:cs="Times New Roman"/>
          <w:color w:val="000000"/>
          <w:sz w:val="27"/>
          <w:szCs w:val="27"/>
          <w:lang w:eastAsia="it-IT"/>
        </w:rPr>
        <w:t>Lochau</w:t>
      </w:r>
      <w:proofErr w:type="spellEnd"/>
      <w:r w:rsidRPr="00EE4D9C">
        <w:rPr>
          <w:rFonts w:ascii="Times New Roman" w:eastAsia="Times New Roman" w:hAnsi="Times New Roman" w:cs="Times New Roman"/>
          <w:color w:val="000000"/>
          <w:sz w:val="27"/>
          <w:szCs w:val="27"/>
          <w:lang w:eastAsia="it-IT"/>
        </w:rPr>
        <w:t>, EU:C:2005:5, punto 49).</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43" w:name="point43"/>
      <w:r w:rsidRPr="00EE4D9C">
        <w:rPr>
          <w:rFonts w:ascii="Times New Roman" w:eastAsia="Times New Roman" w:hAnsi="Times New Roman" w:cs="Times New Roman"/>
          <w:color w:val="000000"/>
          <w:sz w:val="27"/>
          <w:szCs w:val="27"/>
          <w:lang w:eastAsia="it-IT"/>
        </w:rPr>
        <w:t>43</w:t>
      </w:r>
      <w:bookmarkEnd w:id="43"/>
      <w:r w:rsidRPr="00EE4D9C">
        <w:rPr>
          <w:rFonts w:ascii="Times New Roman" w:eastAsia="Times New Roman" w:hAnsi="Times New Roman" w:cs="Times New Roman"/>
          <w:color w:val="000000"/>
          <w:sz w:val="27"/>
          <w:szCs w:val="27"/>
          <w:lang w:eastAsia="it-IT"/>
        </w:rPr>
        <w:t>      Infine, occorre rilevare che il fatto che, in conformità del suo statuto, il SUCH disponesse esclusivamente della facoltà di ammettere tra i suoi membri degli enti privati non è in linea di principio rilevante. L’elemento rilevante nel caso di specie è che, al momento dell’aggiudicazione dell’appalto di cui trattasi nel procedimento principale, il SUCH era effettivamente composto non solo da membri pubblici, ma anche da enti rientranti nel settore privato.</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44" w:name="point44"/>
      <w:r w:rsidRPr="00EE4D9C">
        <w:rPr>
          <w:rFonts w:ascii="Times New Roman" w:eastAsia="Times New Roman" w:hAnsi="Times New Roman" w:cs="Times New Roman"/>
          <w:color w:val="000000"/>
          <w:sz w:val="27"/>
          <w:szCs w:val="27"/>
          <w:lang w:eastAsia="it-IT"/>
        </w:rPr>
        <w:t>44</w:t>
      </w:r>
      <w:bookmarkEnd w:id="44"/>
      <w:r w:rsidRPr="00EE4D9C">
        <w:rPr>
          <w:rFonts w:ascii="Times New Roman" w:eastAsia="Times New Roman" w:hAnsi="Times New Roman" w:cs="Times New Roman"/>
          <w:color w:val="000000"/>
          <w:sz w:val="27"/>
          <w:szCs w:val="27"/>
          <w:lang w:eastAsia="it-IT"/>
        </w:rPr>
        <w:t xml:space="preserve">      Alla luce delle considerazioni che precedono, occorre risolvere la prima questione nel senso che, qualora l’aggiudicatario di un appalto pubblico sia un’associazione di pubblica utilità senza scopo di lucro che, al momento dell’affidamento di tale appalto, comprende tra i suoi membri non solo enti che fanno parte del settore pubblico, ma anche istituzioni caritative private che svolgono attività senza scopo di lucro, la condizione relativa al «controllo analogo», dettata dalla giurisprudenza della Corte affinché l’affidamento di un appalto pubblico possa essere considerato come un’operazione «in </w:t>
      </w:r>
      <w:proofErr w:type="spellStart"/>
      <w:r w:rsidRPr="00EE4D9C">
        <w:rPr>
          <w:rFonts w:ascii="Times New Roman" w:eastAsia="Times New Roman" w:hAnsi="Times New Roman" w:cs="Times New Roman"/>
          <w:color w:val="000000"/>
          <w:sz w:val="27"/>
          <w:szCs w:val="27"/>
          <w:lang w:eastAsia="it-IT"/>
        </w:rPr>
        <w:t>house</w:t>
      </w:r>
      <w:proofErr w:type="spellEnd"/>
      <w:r w:rsidRPr="00EE4D9C">
        <w:rPr>
          <w:rFonts w:ascii="Times New Roman" w:eastAsia="Times New Roman" w:hAnsi="Times New Roman" w:cs="Times New Roman"/>
          <w:color w:val="000000"/>
          <w:sz w:val="27"/>
          <w:szCs w:val="27"/>
          <w:lang w:eastAsia="it-IT"/>
        </w:rPr>
        <w:t>» non è soddisfatta e pertanto la direttiva 2004/18 è applicabile.</w:t>
      </w:r>
    </w:p>
    <w:p w:rsidR="00EE4D9C" w:rsidRPr="00EE4D9C" w:rsidRDefault="00EE4D9C" w:rsidP="00EE4D9C">
      <w:pPr>
        <w:spacing w:after="240" w:line="240" w:lineRule="auto"/>
        <w:ind w:left="567"/>
        <w:jc w:val="both"/>
        <w:rPr>
          <w:rFonts w:ascii="Times New Roman" w:eastAsia="Times New Roman" w:hAnsi="Times New Roman" w:cs="Times New Roman"/>
          <w:i/>
          <w:iCs/>
          <w:color w:val="000000"/>
          <w:sz w:val="27"/>
          <w:szCs w:val="27"/>
          <w:lang w:eastAsia="it-IT"/>
        </w:rPr>
      </w:pPr>
      <w:r w:rsidRPr="00EE4D9C">
        <w:rPr>
          <w:rFonts w:ascii="Times New Roman" w:eastAsia="Times New Roman" w:hAnsi="Times New Roman" w:cs="Times New Roman"/>
          <w:i/>
          <w:iCs/>
          <w:color w:val="000000"/>
          <w:sz w:val="27"/>
          <w:szCs w:val="27"/>
          <w:lang w:eastAsia="it-IT"/>
        </w:rPr>
        <w:t> Sulla seconda e terza questione</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45" w:name="point45"/>
      <w:r w:rsidRPr="00EE4D9C">
        <w:rPr>
          <w:rFonts w:ascii="Times New Roman" w:eastAsia="Times New Roman" w:hAnsi="Times New Roman" w:cs="Times New Roman"/>
          <w:color w:val="000000"/>
          <w:sz w:val="27"/>
          <w:szCs w:val="27"/>
          <w:lang w:eastAsia="it-IT"/>
        </w:rPr>
        <w:t>45</w:t>
      </w:r>
      <w:bookmarkEnd w:id="45"/>
      <w:r w:rsidRPr="00EE4D9C">
        <w:rPr>
          <w:rFonts w:ascii="Times New Roman" w:eastAsia="Times New Roman" w:hAnsi="Times New Roman" w:cs="Times New Roman"/>
          <w:color w:val="000000"/>
          <w:sz w:val="27"/>
          <w:szCs w:val="27"/>
          <w:lang w:eastAsia="it-IT"/>
        </w:rPr>
        <w:t>      Tenuto conto della risposta fornita alla prima questione pregiudiziale, non è necessario rispondere alle altre questioni sollevate.</w:t>
      </w:r>
    </w:p>
    <w:p w:rsidR="00EE4D9C" w:rsidRPr="00EE4D9C" w:rsidRDefault="00EE4D9C" w:rsidP="00EE4D9C">
      <w:pPr>
        <w:spacing w:before="480" w:after="240" w:line="240" w:lineRule="auto"/>
        <w:ind w:left="567"/>
        <w:jc w:val="both"/>
        <w:rPr>
          <w:rFonts w:ascii="Times New Roman" w:eastAsia="Times New Roman" w:hAnsi="Times New Roman" w:cs="Times New Roman"/>
          <w:b/>
          <w:bCs/>
          <w:color w:val="000000"/>
          <w:sz w:val="27"/>
          <w:szCs w:val="27"/>
          <w:lang w:eastAsia="it-IT"/>
        </w:rPr>
      </w:pPr>
      <w:r w:rsidRPr="00EE4D9C">
        <w:rPr>
          <w:rFonts w:ascii="Times New Roman" w:eastAsia="Times New Roman" w:hAnsi="Times New Roman" w:cs="Times New Roman"/>
          <w:b/>
          <w:bCs/>
          <w:color w:val="000000"/>
          <w:sz w:val="27"/>
          <w:szCs w:val="27"/>
          <w:lang w:eastAsia="it-IT"/>
        </w:rPr>
        <w:t> Sulle spese</w:t>
      </w:r>
    </w:p>
    <w:p w:rsidR="00EE4D9C" w:rsidRPr="00EE4D9C" w:rsidRDefault="00EE4D9C" w:rsidP="00EE4D9C">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46" w:name="point46"/>
      <w:r w:rsidRPr="00EE4D9C">
        <w:rPr>
          <w:rFonts w:ascii="Times New Roman" w:eastAsia="Times New Roman" w:hAnsi="Times New Roman" w:cs="Times New Roman"/>
          <w:color w:val="000000"/>
          <w:sz w:val="27"/>
          <w:szCs w:val="27"/>
          <w:lang w:eastAsia="it-IT"/>
        </w:rPr>
        <w:t>46</w:t>
      </w:r>
      <w:bookmarkEnd w:id="46"/>
      <w:r w:rsidRPr="00EE4D9C">
        <w:rPr>
          <w:rFonts w:ascii="Times New Roman" w:eastAsia="Times New Roman" w:hAnsi="Times New Roman" w:cs="Times New Roman"/>
          <w:color w:val="000000"/>
          <w:sz w:val="27"/>
          <w:szCs w:val="27"/>
          <w:lang w:eastAsia="it-IT"/>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rsidR="00EE4D9C" w:rsidRPr="00EE4D9C" w:rsidRDefault="00EE4D9C" w:rsidP="00EE4D9C">
      <w:pPr>
        <w:spacing w:before="480" w:after="240" w:line="240" w:lineRule="auto"/>
        <w:ind w:left="567"/>
        <w:jc w:val="both"/>
        <w:rPr>
          <w:rFonts w:ascii="Times New Roman" w:eastAsia="Times New Roman" w:hAnsi="Times New Roman" w:cs="Times New Roman"/>
          <w:color w:val="000000"/>
          <w:sz w:val="27"/>
          <w:szCs w:val="27"/>
          <w:lang w:eastAsia="it-IT"/>
        </w:rPr>
      </w:pPr>
      <w:r w:rsidRPr="00EE4D9C">
        <w:rPr>
          <w:rFonts w:ascii="Times New Roman" w:eastAsia="Times New Roman" w:hAnsi="Times New Roman" w:cs="Times New Roman"/>
          <w:color w:val="000000"/>
          <w:sz w:val="27"/>
          <w:szCs w:val="27"/>
          <w:lang w:eastAsia="it-IT"/>
        </w:rPr>
        <w:lastRenderedPageBreak/>
        <w:t>Per questi motivi, la Corte (Quinta Sezione) dichiara:</w:t>
      </w:r>
    </w:p>
    <w:p w:rsidR="00EE4D9C" w:rsidRPr="00EE4D9C" w:rsidRDefault="00EE4D9C" w:rsidP="00EE4D9C">
      <w:pPr>
        <w:spacing w:after="240" w:line="240" w:lineRule="auto"/>
        <w:ind w:left="567"/>
        <w:jc w:val="both"/>
        <w:rPr>
          <w:rFonts w:ascii="Times New Roman" w:eastAsia="Times New Roman" w:hAnsi="Times New Roman" w:cs="Times New Roman"/>
          <w:b/>
          <w:bCs/>
          <w:color w:val="000000"/>
          <w:sz w:val="27"/>
          <w:szCs w:val="27"/>
          <w:lang w:eastAsia="it-IT"/>
        </w:rPr>
      </w:pPr>
      <w:r w:rsidRPr="00EE4D9C">
        <w:rPr>
          <w:rFonts w:ascii="Times New Roman" w:eastAsia="Times New Roman" w:hAnsi="Times New Roman" w:cs="Times New Roman"/>
          <w:b/>
          <w:bCs/>
          <w:color w:val="000000"/>
          <w:sz w:val="27"/>
          <w:szCs w:val="27"/>
          <w:lang w:eastAsia="it-IT"/>
        </w:rPr>
        <w:t xml:space="preserve">Qualora l’aggiudicatario di un appalto pubblico sia un’associazione di pubblica utilità senza scopo di lucro che, al momento dell’affidamento di tale appalto, comprende tra i suoi membri non solo enti che fanno parte del settore pubblico, ma anche istituzioni caritative private che svolgono attività senza scopo di lucro, la condizione relativa al «controllo analogo», dettata dalla giurisprudenza della Corte affinché l’affidamento di un appalto pubblico possa essere considerato come un’operazione «in </w:t>
      </w:r>
      <w:proofErr w:type="spellStart"/>
      <w:r w:rsidRPr="00EE4D9C">
        <w:rPr>
          <w:rFonts w:ascii="Times New Roman" w:eastAsia="Times New Roman" w:hAnsi="Times New Roman" w:cs="Times New Roman"/>
          <w:b/>
          <w:bCs/>
          <w:color w:val="000000"/>
          <w:sz w:val="27"/>
          <w:szCs w:val="27"/>
          <w:lang w:eastAsia="it-IT"/>
        </w:rPr>
        <w:t>house</w:t>
      </w:r>
      <w:proofErr w:type="spellEnd"/>
      <w:r w:rsidRPr="00EE4D9C">
        <w:rPr>
          <w:rFonts w:ascii="Times New Roman" w:eastAsia="Times New Roman" w:hAnsi="Times New Roman" w:cs="Times New Roman"/>
          <w:b/>
          <w:bCs/>
          <w:color w:val="000000"/>
          <w:sz w:val="27"/>
          <w:szCs w:val="27"/>
          <w:lang w:eastAsia="it-IT"/>
        </w:rPr>
        <w:t>» non è soddisfatta e pertanto la direttiva 2004/18/CE del Parlamento europeo e del Consiglio, del 31 marzo 2014, relativa al coordinamento delle procedure di aggiudicazione degli appalti pubblici di lavori, di forniture e di servizi, è applicabile.</w:t>
      </w:r>
    </w:p>
    <w:p w:rsidR="00EE4D9C" w:rsidRPr="00EE4D9C" w:rsidRDefault="00EE4D9C" w:rsidP="00EE4D9C">
      <w:pPr>
        <w:spacing w:after="1200" w:line="240" w:lineRule="auto"/>
        <w:ind w:left="567"/>
        <w:jc w:val="both"/>
        <w:rPr>
          <w:rFonts w:ascii="Times New Roman" w:eastAsia="Times New Roman" w:hAnsi="Times New Roman" w:cs="Times New Roman"/>
          <w:color w:val="000000"/>
          <w:sz w:val="27"/>
          <w:szCs w:val="27"/>
          <w:lang w:eastAsia="it-IT"/>
        </w:rPr>
      </w:pPr>
      <w:r w:rsidRPr="00EE4D9C">
        <w:rPr>
          <w:rFonts w:ascii="Times New Roman" w:eastAsia="Times New Roman" w:hAnsi="Times New Roman" w:cs="Times New Roman"/>
          <w:color w:val="000000"/>
          <w:sz w:val="27"/>
          <w:szCs w:val="27"/>
          <w:lang w:eastAsia="it-IT"/>
        </w:rPr>
        <w:t>Firme</w:t>
      </w:r>
    </w:p>
    <w:p w:rsidR="00EE4D9C" w:rsidRPr="00EE4D9C" w:rsidRDefault="00EE4D9C" w:rsidP="00EE4D9C">
      <w:pPr>
        <w:spacing w:after="0" w:line="240" w:lineRule="auto"/>
        <w:rPr>
          <w:rFonts w:ascii="Times New Roman" w:eastAsia="Times New Roman" w:hAnsi="Times New Roman" w:cs="Times New Roman"/>
          <w:sz w:val="24"/>
          <w:szCs w:val="24"/>
          <w:lang w:eastAsia="it-IT"/>
        </w:rPr>
      </w:pPr>
      <w:r w:rsidRPr="00EE4D9C">
        <w:rPr>
          <w:rFonts w:ascii="Times New Roman" w:eastAsia="Times New Roman" w:hAnsi="Times New Roman" w:cs="Times New Roman"/>
          <w:sz w:val="24"/>
          <w:szCs w:val="24"/>
          <w:lang w:eastAsia="it-IT"/>
        </w:rPr>
        <w:pict>
          <v:rect id="_x0000_i1025" style="width:0;height:1.5pt" o:hralign="center" o:hrstd="t" o:hrnoshade="t" o:hr="t" fillcolor="black" stroked="f"/>
        </w:pict>
      </w:r>
    </w:p>
    <w:bookmarkStart w:id="47" w:name="Footnote*"/>
    <w:p w:rsidR="00EE4D9C" w:rsidRPr="00EE4D9C" w:rsidRDefault="00EE4D9C" w:rsidP="00EE4D9C">
      <w:pPr>
        <w:spacing w:after="0" w:line="240" w:lineRule="auto"/>
        <w:ind w:left="567"/>
        <w:rPr>
          <w:rFonts w:ascii="Times New Roman" w:eastAsia="Times New Roman" w:hAnsi="Times New Roman" w:cs="Times New Roman"/>
          <w:color w:val="000000"/>
          <w:sz w:val="15"/>
          <w:szCs w:val="15"/>
          <w:lang w:eastAsia="it-IT"/>
        </w:rPr>
      </w:pPr>
      <w:r w:rsidRPr="00EE4D9C">
        <w:rPr>
          <w:rFonts w:ascii="Times New Roman" w:eastAsia="Times New Roman" w:hAnsi="Times New Roman" w:cs="Times New Roman"/>
          <w:color w:val="000000"/>
          <w:sz w:val="15"/>
          <w:szCs w:val="15"/>
          <w:lang w:eastAsia="it-IT"/>
        </w:rPr>
        <w:fldChar w:fldCharType="begin"/>
      </w:r>
      <w:r w:rsidRPr="00EE4D9C">
        <w:rPr>
          <w:rFonts w:ascii="Times New Roman" w:eastAsia="Times New Roman" w:hAnsi="Times New Roman" w:cs="Times New Roman"/>
          <w:color w:val="000000"/>
          <w:sz w:val="15"/>
          <w:szCs w:val="15"/>
          <w:lang w:eastAsia="it-IT"/>
        </w:rPr>
        <w:instrText xml:space="preserve"> HYPERLINK "http://curia.europa.eu/juris/document/document_print.jsf?docid=153811&amp;text=&amp;dir=&amp;doclang=IT&amp;part=1&amp;occ=first&amp;mode=lst&amp;pageIndex=0&amp;cid=87540" \l "Footref*" </w:instrText>
      </w:r>
      <w:r w:rsidRPr="00EE4D9C">
        <w:rPr>
          <w:rFonts w:ascii="Times New Roman" w:eastAsia="Times New Roman" w:hAnsi="Times New Roman" w:cs="Times New Roman"/>
          <w:color w:val="000000"/>
          <w:sz w:val="15"/>
          <w:szCs w:val="15"/>
          <w:lang w:eastAsia="it-IT"/>
        </w:rPr>
        <w:fldChar w:fldCharType="separate"/>
      </w:r>
      <w:r w:rsidRPr="00EE4D9C">
        <w:rPr>
          <w:rFonts w:ascii="Times New Roman" w:eastAsia="Times New Roman" w:hAnsi="Times New Roman" w:cs="Times New Roman"/>
          <w:color w:val="0000FF"/>
          <w:sz w:val="15"/>
          <w:szCs w:val="15"/>
          <w:u w:val="single"/>
          <w:lang w:eastAsia="it-IT"/>
        </w:rPr>
        <w:t>*</w:t>
      </w:r>
      <w:r w:rsidRPr="00EE4D9C">
        <w:rPr>
          <w:rFonts w:ascii="Times New Roman" w:eastAsia="Times New Roman" w:hAnsi="Times New Roman" w:cs="Times New Roman"/>
          <w:color w:val="000000"/>
          <w:sz w:val="15"/>
          <w:szCs w:val="15"/>
          <w:lang w:eastAsia="it-IT"/>
        </w:rPr>
        <w:fldChar w:fldCharType="end"/>
      </w:r>
      <w:bookmarkEnd w:id="47"/>
      <w:r w:rsidRPr="00EE4D9C">
        <w:rPr>
          <w:rFonts w:ascii="Times New Roman" w:eastAsia="Times New Roman" w:hAnsi="Times New Roman" w:cs="Times New Roman"/>
          <w:color w:val="000000"/>
          <w:sz w:val="15"/>
          <w:szCs w:val="15"/>
          <w:lang w:eastAsia="it-IT"/>
        </w:rPr>
        <w:t> Lingua processuale: il portoghese.</w:t>
      </w:r>
    </w:p>
    <w:p w:rsidR="00F272D2" w:rsidRPr="00EE4D9C" w:rsidRDefault="00F272D2" w:rsidP="00EE4D9C">
      <w:bookmarkStart w:id="48" w:name="_GoBack"/>
      <w:bookmarkEnd w:id="48"/>
    </w:p>
    <w:sectPr w:rsidR="00F272D2" w:rsidRPr="00EE4D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64"/>
    <w:rsid w:val="00624364"/>
    <w:rsid w:val="00B524CB"/>
    <w:rsid w:val="00EB5499"/>
    <w:rsid w:val="00EE4D9C"/>
    <w:rsid w:val="00F272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15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4587</Words>
  <Characters>26149</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cp:lastModifiedBy>
  <cp:revision>2</cp:revision>
  <dcterms:created xsi:type="dcterms:W3CDTF">2018-11-03T10:57:00Z</dcterms:created>
  <dcterms:modified xsi:type="dcterms:W3CDTF">2018-11-03T10:57:00Z</dcterms:modified>
</cp:coreProperties>
</file>