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BE0" w:rsidRPr="00352BE0" w:rsidRDefault="00352BE0" w:rsidP="00352BE0">
      <w:pPr>
        <w:spacing w:after="240" w:line="240" w:lineRule="auto"/>
        <w:ind w:left="567"/>
        <w:jc w:val="center"/>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SENTENZA DELLA CORTE (Terza Sezione)</w:t>
      </w:r>
    </w:p>
    <w:p w:rsidR="00352BE0" w:rsidRPr="00352BE0" w:rsidRDefault="00352BE0" w:rsidP="00352BE0">
      <w:pPr>
        <w:spacing w:after="240" w:line="240" w:lineRule="auto"/>
        <w:ind w:left="567"/>
        <w:jc w:val="center"/>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29 novembre 2012 (</w:t>
      </w:r>
      <w:bookmarkStart w:id="0" w:name="Footref*"/>
      <w:r w:rsidRPr="00352BE0">
        <w:rPr>
          <w:rFonts w:ascii="Times New Roman" w:eastAsia="Times New Roman" w:hAnsi="Times New Roman" w:cs="Times New Roman"/>
          <w:color w:val="000000"/>
          <w:sz w:val="27"/>
          <w:szCs w:val="27"/>
          <w:lang w:eastAsia="it-IT"/>
        </w:rPr>
        <w:fldChar w:fldCharType="begin"/>
      </w:r>
      <w:r w:rsidRPr="00352BE0">
        <w:rPr>
          <w:rFonts w:ascii="Times New Roman" w:eastAsia="Times New Roman" w:hAnsi="Times New Roman" w:cs="Times New Roman"/>
          <w:color w:val="000000"/>
          <w:sz w:val="27"/>
          <w:szCs w:val="27"/>
          <w:lang w:eastAsia="it-IT"/>
        </w:rPr>
        <w:instrText xml:space="preserve"> HYPERLINK "http://curia.europa.eu/juris/document/document_print.jsf?docid=130625&amp;text=&amp;dir=&amp;doclang=IT&amp;part=1&amp;occ=first&amp;mode=lst&amp;pageIndex=0&amp;cid=87147" \l "Footnote*" </w:instrText>
      </w:r>
      <w:r w:rsidRPr="00352BE0">
        <w:rPr>
          <w:rFonts w:ascii="Times New Roman" w:eastAsia="Times New Roman" w:hAnsi="Times New Roman" w:cs="Times New Roman"/>
          <w:color w:val="000000"/>
          <w:sz w:val="27"/>
          <w:szCs w:val="27"/>
          <w:lang w:eastAsia="it-IT"/>
        </w:rPr>
        <w:fldChar w:fldCharType="separate"/>
      </w:r>
      <w:r w:rsidRPr="00352BE0">
        <w:rPr>
          <w:rFonts w:ascii="Times New Roman" w:eastAsia="Times New Roman" w:hAnsi="Times New Roman" w:cs="Times New Roman"/>
          <w:color w:val="0000FF"/>
          <w:sz w:val="27"/>
          <w:szCs w:val="27"/>
          <w:u w:val="single"/>
          <w:lang w:eastAsia="it-IT"/>
        </w:rPr>
        <w:t>*</w:t>
      </w:r>
      <w:r w:rsidRPr="00352BE0">
        <w:rPr>
          <w:rFonts w:ascii="Times New Roman" w:eastAsia="Times New Roman" w:hAnsi="Times New Roman" w:cs="Times New Roman"/>
          <w:color w:val="000000"/>
          <w:sz w:val="27"/>
          <w:szCs w:val="27"/>
          <w:lang w:eastAsia="it-IT"/>
        </w:rPr>
        <w:fldChar w:fldCharType="end"/>
      </w:r>
      <w:bookmarkEnd w:id="0"/>
      <w:r w:rsidRPr="00352BE0">
        <w:rPr>
          <w:rFonts w:ascii="Times New Roman" w:eastAsia="Times New Roman" w:hAnsi="Times New Roman" w:cs="Times New Roman"/>
          <w:color w:val="000000"/>
          <w:sz w:val="27"/>
          <w:szCs w:val="27"/>
          <w:lang w:eastAsia="it-IT"/>
        </w:rPr>
        <w:t>)</w:t>
      </w:r>
    </w:p>
    <w:p w:rsidR="00352BE0" w:rsidRPr="00352BE0" w:rsidRDefault="00352BE0" w:rsidP="00352BE0">
      <w:pPr>
        <w:spacing w:before="600" w:after="560" w:line="240" w:lineRule="auto"/>
        <w:ind w:left="567"/>
        <w:jc w:val="center"/>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 xml:space="preserve">«Appalti pubblici di servizi – Direttiva 2004/18/CE – Amministrazione aggiudicatrice che esercita su un’entità affidataria, giuridicamente distinta da essa, un controllo analogo a quello che essa esercita sui propri servizi – Insussistenza di un obbligo di organizzare una procedura di aggiudicazione secondo le norme del diritto dell’Unione (affidamento cosiddetto “in </w:t>
      </w:r>
      <w:proofErr w:type="spellStart"/>
      <w:r w:rsidRPr="00352BE0">
        <w:rPr>
          <w:rFonts w:ascii="Times New Roman" w:eastAsia="Times New Roman" w:hAnsi="Times New Roman" w:cs="Times New Roman"/>
          <w:color w:val="000000"/>
          <w:sz w:val="27"/>
          <w:szCs w:val="27"/>
          <w:lang w:eastAsia="it-IT"/>
        </w:rPr>
        <w:t>house</w:t>
      </w:r>
      <w:proofErr w:type="spellEnd"/>
      <w:r w:rsidRPr="00352BE0">
        <w:rPr>
          <w:rFonts w:ascii="Times New Roman" w:eastAsia="Times New Roman" w:hAnsi="Times New Roman" w:cs="Times New Roman"/>
          <w:color w:val="000000"/>
          <w:sz w:val="27"/>
          <w:szCs w:val="27"/>
          <w:lang w:eastAsia="it-IT"/>
        </w:rPr>
        <w:t xml:space="preserve">”) – Entità affidataria controllata congiuntamente da più enti locali territoriali – Presupposti di applicabilità dell’affidamento “in </w:t>
      </w:r>
      <w:proofErr w:type="spellStart"/>
      <w:r w:rsidRPr="00352BE0">
        <w:rPr>
          <w:rFonts w:ascii="Times New Roman" w:eastAsia="Times New Roman" w:hAnsi="Times New Roman" w:cs="Times New Roman"/>
          <w:color w:val="000000"/>
          <w:sz w:val="27"/>
          <w:szCs w:val="27"/>
          <w:lang w:eastAsia="it-IT"/>
        </w:rPr>
        <w:t>house</w:t>
      </w:r>
      <w:proofErr w:type="spellEnd"/>
      <w:r w:rsidRPr="00352BE0">
        <w:rPr>
          <w:rFonts w:ascii="Times New Roman" w:eastAsia="Times New Roman" w:hAnsi="Times New Roman" w:cs="Times New Roman"/>
          <w:color w:val="000000"/>
          <w:sz w:val="27"/>
          <w:szCs w:val="27"/>
          <w:lang w:eastAsia="it-IT"/>
        </w:rPr>
        <w:t>”»</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Nelle cause riunite C</w:t>
      </w:r>
      <w:r w:rsidRPr="00352BE0">
        <w:rPr>
          <w:rFonts w:ascii="Times New Roman" w:eastAsia="Times New Roman" w:hAnsi="Times New Roman" w:cs="Times New Roman"/>
          <w:color w:val="000000"/>
          <w:sz w:val="27"/>
          <w:szCs w:val="27"/>
          <w:lang w:eastAsia="it-IT"/>
        </w:rPr>
        <w:noBreakHyphen/>
        <w:t>182/11 e C</w:t>
      </w:r>
      <w:r w:rsidRPr="00352BE0">
        <w:rPr>
          <w:rFonts w:ascii="Times New Roman" w:eastAsia="Times New Roman" w:hAnsi="Times New Roman" w:cs="Times New Roman"/>
          <w:color w:val="000000"/>
          <w:sz w:val="27"/>
          <w:szCs w:val="27"/>
          <w:lang w:eastAsia="it-IT"/>
        </w:rPr>
        <w:noBreakHyphen/>
        <w:t>183/11,</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aventi ad oggetto due domande di pronuncia pregiudiziale proposte alla Corte, ai sensi dell’articolo 267 TFUE, dal Consiglio di Stato (Italia), con decisioni del 23 febbraio 2011, pervenute in cancelleria il 18 aprile 2011, nei procedimenti</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proofErr w:type="spellStart"/>
      <w:r w:rsidRPr="00352BE0">
        <w:rPr>
          <w:rFonts w:ascii="Times New Roman" w:eastAsia="Times New Roman" w:hAnsi="Times New Roman" w:cs="Times New Roman"/>
          <w:b/>
          <w:bCs/>
          <w:color w:val="000000"/>
          <w:sz w:val="27"/>
          <w:szCs w:val="27"/>
          <w:lang w:eastAsia="it-IT"/>
        </w:rPr>
        <w:t>Econord</w:t>
      </w:r>
      <w:proofErr w:type="spellEnd"/>
      <w:r w:rsidRPr="00352BE0">
        <w:rPr>
          <w:rFonts w:ascii="Times New Roman" w:eastAsia="Times New Roman" w:hAnsi="Times New Roman" w:cs="Times New Roman"/>
          <w:b/>
          <w:bCs/>
          <w:color w:val="000000"/>
          <w:sz w:val="27"/>
          <w:szCs w:val="27"/>
          <w:lang w:eastAsia="it-IT"/>
        </w:rPr>
        <w:t xml:space="preserve"> </w:t>
      </w:r>
      <w:proofErr w:type="spellStart"/>
      <w:r w:rsidRPr="00352BE0">
        <w:rPr>
          <w:rFonts w:ascii="Times New Roman" w:eastAsia="Times New Roman" w:hAnsi="Times New Roman" w:cs="Times New Roman"/>
          <w:b/>
          <w:bCs/>
          <w:color w:val="000000"/>
          <w:sz w:val="27"/>
          <w:szCs w:val="27"/>
          <w:lang w:eastAsia="it-IT"/>
        </w:rPr>
        <w:t>SpA</w:t>
      </w:r>
      <w:proofErr w:type="spellEnd"/>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contro</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b/>
          <w:bCs/>
          <w:color w:val="000000"/>
          <w:sz w:val="27"/>
          <w:szCs w:val="27"/>
          <w:lang w:eastAsia="it-IT"/>
        </w:rPr>
        <w:t>Comune di Cagno </w:t>
      </w:r>
      <w:r w:rsidRPr="00352BE0">
        <w:rPr>
          <w:rFonts w:ascii="Times New Roman" w:eastAsia="Times New Roman" w:hAnsi="Times New Roman" w:cs="Times New Roman"/>
          <w:color w:val="000000"/>
          <w:sz w:val="27"/>
          <w:szCs w:val="27"/>
          <w:lang w:eastAsia="it-IT"/>
        </w:rPr>
        <w:t>(C</w:t>
      </w:r>
      <w:r w:rsidRPr="00352BE0">
        <w:rPr>
          <w:rFonts w:ascii="Times New Roman" w:eastAsia="Times New Roman" w:hAnsi="Times New Roman" w:cs="Times New Roman"/>
          <w:color w:val="000000"/>
          <w:sz w:val="27"/>
          <w:szCs w:val="27"/>
          <w:lang w:eastAsia="it-IT"/>
        </w:rPr>
        <w:noBreakHyphen/>
        <w:t>182/11),</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b/>
          <w:bCs/>
          <w:color w:val="000000"/>
          <w:sz w:val="27"/>
          <w:szCs w:val="27"/>
          <w:lang w:eastAsia="it-IT"/>
        </w:rPr>
        <w:t>Comune di Varese,</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b/>
          <w:bCs/>
          <w:color w:val="000000"/>
          <w:sz w:val="27"/>
          <w:szCs w:val="27"/>
          <w:lang w:eastAsia="it-IT"/>
        </w:rPr>
        <w:t>Comune di Solbiate </w:t>
      </w:r>
      <w:r w:rsidRPr="00352BE0">
        <w:rPr>
          <w:rFonts w:ascii="Times New Roman" w:eastAsia="Times New Roman" w:hAnsi="Times New Roman" w:cs="Times New Roman"/>
          <w:color w:val="000000"/>
          <w:sz w:val="27"/>
          <w:szCs w:val="27"/>
          <w:lang w:eastAsia="it-IT"/>
        </w:rPr>
        <w:t>(C</w:t>
      </w:r>
      <w:r w:rsidRPr="00352BE0">
        <w:rPr>
          <w:rFonts w:ascii="Times New Roman" w:eastAsia="Times New Roman" w:hAnsi="Times New Roman" w:cs="Times New Roman"/>
          <w:color w:val="000000"/>
          <w:sz w:val="27"/>
          <w:szCs w:val="27"/>
          <w:lang w:eastAsia="it-IT"/>
        </w:rPr>
        <w:noBreakHyphen/>
        <w:t>183/11),</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b/>
          <w:bCs/>
          <w:color w:val="000000"/>
          <w:sz w:val="27"/>
          <w:szCs w:val="27"/>
          <w:lang w:eastAsia="it-IT"/>
        </w:rPr>
        <w:t>Comune di Varese,</w:t>
      </w:r>
    </w:p>
    <w:p w:rsidR="00352BE0" w:rsidRPr="00352BE0" w:rsidRDefault="00352BE0" w:rsidP="00352BE0">
      <w:pPr>
        <w:spacing w:after="240" w:line="240" w:lineRule="auto"/>
        <w:ind w:left="567"/>
        <w:jc w:val="center"/>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LA CORTE (Terza Sezione),</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composta dalla sig.ra R. Silva de </w:t>
      </w:r>
      <w:proofErr w:type="spellStart"/>
      <w:r w:rsidRPr="00352BE0">
        <w:rPr>
          <w:rFonts w:ascii="Times New Roman" w:eastAsia="Times New Roman" w:hAnsi="Times New Roman" w:cs="Times New Roman"/>
          <w:color w:val="000000"/>
          <w:sz w:val="27"/>
          <w:szCs w:val="27"/>
          <w:lang w:eastAsia="it-IT"/>
        </w:rPr>
        <w:t>Lapuerta</w:t>
      </w:r>
      <w:proofErr w:type="spellEnd"/>
      <w:r w:rsidRPr="00352BE0">
        <w:rPr>
          <w:rFonts w:ascii="Times New Roman" w:eastAsia="Times New Roman" w:hAnsi="Times New Roman" w:cs="Times New Roman"/>
          <w:color w:val="000000"/>
          <w:sz w:val="27"/>
          <w:szCs w:val="27"/>
          <w:lang w:eastAsia="it-IT"/>
        </w:rPr>
        <w:t>, facente funzione di presidente della Terza Sezione, dai sigg. K. </w:t>
      </w:r>
      <w:proofErr w:type="spellStart"/>
      <w:r w:rsidRPr="00352BE0">
        <w:rPr>
          <w:rFonts w:ascii="Times New Roman" w:eastAsia="Times New Roman" w:hAnsi="Times New Roman" w:cs="Times New Roman"/>
          <w:color w:val="000000"/>
          <w:sz w:val="27"/>
          <w:szCs w:val="27"/>
          <w:lang w:eastAsia="it-IT"/>
        </w:rPr>
        <w:t>Lenaerts</w:t>
      </w:r>
      <w:proofErr w:type="spellEnd"/>
      <w:r w:rsidRPr="00352BE0">
        <w:rPr>
          <w:rFonts w:ascii="Times New Roman" w:eastAsia="Times New Roman" w:hAnsi="Times New Roman" w:cs="Times New Roman"/>
          <w:color w:val="000000"/>
          <w:sz w:val="27"/>
          <w:szCs w:val="27"/>
          <w:lang w:eastAsia="it-IT"/>
        </w:rPr>
        <w:t>, E. </w:t>
      </w:r>
      <w:proofErr w:type="spellStart"/>
      <w:r w:rsidRPr="00352BE0">
        <w:rPr>
          <w:rFonts w:ascii="Times New Roman" w:eastAsia="Times New Roman" w:hAnsi="Times New Roman" w:cs="Times New Roman"/>
          <w:color w:val="000000"/>
          <w:sz w:val="27"/>
          <w:szCs w:val="27"/>
          <w:lang w:eastAsia="it-IT"/>
        </w:rPr>
        <w:t>Juhász</w:t>
      </w:r>
      <w:proofErr w:type="spellEnd"/>
      <w:r w:rsidRPr="00352BE0">
        <w:rPr>
          <w:rFonts w:ascii="Times New Roman" w:eastAsia="Times New Roman" w:hAnsi="Times New Roman" w:cs="Times New Roman"/>
          <w:color w:val="000000"/>
          <w:sz w:val="27"/>
          <w:szCs w:val="27"/>
          <w:lang w:eastAsia="it-IT"/>
        </w:rPr>
        <w:t xml:space="preserve"> (relatore), T. von </w:t>
      </w:r>
      <w:proofErr w:type="spellStart"/>
      <w:r w:rsidRPr="00352BE0">
        <w:rPr>
          <w:rFonts w:ascii="Times New Roman" w:eastAsia="Times New Roman" w:hAnsi="Times New Roman" w:cs="Times New Roman"/>
          <w:color w:val="000000"/>
          <w:sz w:val="27"/>
          <w:szCs w:val="27"/>
          <w:lang w:eastAsia="it-IT"/>
        </w:rPr>
        <w:t>Danwitz</w:t>
      </w:r>
      <w:proofErr w:type="spellEnd"/>
      <w:r w:rsidRPr="00352BE0">
        <w:rPr>
          <w:rFonts w:ascii="Times New Roman" w:eastAsia="Times New Roman" w:hAnsi="Times New Roman" w:cs="Times New Roman"/>
          <w:color w:val="000000"/>
          <w:sz w:val="27"/>
          <w:szCs w:val="27"/>
          <w:lang w:eastAsia="it-IT"/>
        </w:rPr>
        <w:t xml:space="preserve"> e D. </w:t>
      </w:r>
      <w:proofErr w:type="spellStart"/>
      <w:r w:rsidRPr="00352BE0">
        <w:rPr>
          <w:rFonts w:ascii="Times New Roman" w:eastAsia="Times New Roman" w:hAnsi="Times New Roman" w:cs="Times New Roman"/>
          <w:color w:val="000000"/>
          <w:sz w:val="27"/>
          <w:szCs w:val="27"/>
          <w:lang w:eastAsia="it-IT"/>
        </w:rPr>
        <w:t>Šváby</w:t>
      </w:r>
      <w:proofErr w:type="spellEnd"/>
      <w:r w:rsidRPr="00352BE0">
        <w:rPr>
          <w:rFonts w:ascii="Times New Roman" w:eastAsia="Times New Roman" w:hAnsi="Times New Roman" w:cs="Times New Roman"/>
          <w:color w:val="000000"/>
          <w:sz w:val="27"/>
          <w:szCs w:val="27"/>
          <w:lang w:eastAsia="it-IT"/>
        </w:rPr>
        <w:t>, giudici,</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avvocato generale: sig. P. Cruz </w:t>
      </w:r>
      <w:proofErr w:type="spellStart"/>
      <w:r w:rsidRPr="00352BE0">
        <w:rPr>
          <w:rFonts w:ascii="Times New Roman" w:eastAsia="Times New Roman" w:hAnsi="Times New Roman" w:cs="Times New Roman"/>
          <w:color w:val="000000"/>
          <w:sz w:val="27"/>
          <w:szCs w:val="27"/>
          <w:lang w:eastAsia="it-IT"/>
        </w:rPr>
        <w:t>Villalón</w:t>
      </w:r>
      <w:proofErr w:type="spellEnd"/>
      <w:r w:rsidRPr="00352BE0">
        <w:rPr>
          <w:rFonts w:ascii="Times New Roman" w:eastAsia="Times New Roman" w:hAnsi="Times New Roman" w:cs="Times New Roman"/>
          <w:color w:val="000000"/>
          <w:sz w:val="27"/>
          <w:szCs w:val="27"/>
          <w:lang w:eastAsia="it-IT"/>
        </w:rPr>
        <w:t>,</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cancelliere: sig. A. </w:t>
      </w:r>
      <w:proofErr w:type="spellStart"/>
      <w:r w:rsidRPr="00352BE0">
        <w:rPr>
          <w:rFonts w:ascii="Times New Roman" w:eastAsia="Times New Roman" w:hAnsi="Times New Roman" w:cs="Times New Roman"/>
          <w:color w:val="000000"/>
          <w:sz w:val="27"/>
          <w:szCs w:val="27"/>
          <w:lang w:eastAsia="it-IT"/>
        </w:rPr>
        <w:t>Calot</w:t>
      </w:r>
      <w:proofErr w:type="spellEnd"/>
      <w:r w:rsidRPr="00352BE0">
        <w:rPr>
          <w:rFonts w:ascii="Times New Roman" w:eastAsia="Times New Roman" w:hAnsi="Times New Roman" w:cs="Times New Roman"/>
          <w:color w:val="000000"/>
          <w:sz w:val="27"/>
          <w:szCs w:val="27"/>
          <w:lang w:eastAsia="it-IT"/>
        </w:rPr>
        <w:t> Escobar,</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vista la fase scritta del procedimento,</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considerate le osservazioni presentate:</w:t>
      </w:r>
    </w:p>
    <w:p w:rsidR="00352BE0" w:rsidRPr="00352BE0" w:rsidRDefault="00352BE0" w:rsidP="00352BE0">
      <w:pPr>
        <w:spacing w:before="100" w:beforeAutospacing="1" w:after="240" w:line="240" w:lineRule="auto"/>
        <w:ind w:left="1134" w:hanging="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        per il Comune di Cagno e il Comune di Solbiate, da C. Colombo, avvocatessa;</w:t>
      </w:r>
    </w:p>
    <w:p w:rsidR="00352BE0" w:rsidRPr="00352BE0" w:rsidRDefault="00352BE0" w:rsidP="00352BE0">
      <w:pPr>
        <w:spacing w:before="100" w:beforeAutospacing="1" w:after="240" w:line="240" w:lineRule="auto"/>
        <w:ind w:left="1134" w:hanging="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lastRenderedPageBreak/>
        <w:t>–        per il governo italiano, da G. Palmieri, in qualità di agente, assistita da P. Gentili, avvocato dello Stato;</w:t>
      </w:r>
    </w:p>
    <w:p w:rsidR="00352BE0" w:rsidRPr="00352BE0" w:rsidRDefault="00352BE0" w:rsidP="00352BE0">
      <w:pPr>
        <w:spacing w:before="100" w:beforeAutospacing="1" w:after="240" w:line="240" w:lineRule="auto"/>
        <w:ind w:left="1134" w:hanging="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        per il governo austriaco, da M. </w:t>
      </w:r>
      <w:proofErr w:type="spellStart"/>
      <w:r w:rsidRPr="00352BE0">
        <w:rPr>
          <w:rFonts w:ascii="Times New Roman" w:eastAsia="Times New Roman" w:hAnsi="Times New Roman" w:cs="Times New Roman"/>
          <w:color w:val="000000"/>
          <w:sz w:val="27"/>
          <w:szCs w:val="27"/>
          <w:lang w:eastAsia="it-IT"/>
        </w:rPr>
        <w:t>Fruhmann</w:t>
      </w:r>
      <w:proofErr w:type="spellEnd"/>
      <w:r w:rsidRPr="00352BE0">
        <w:rPr>
          <w:rFonts w:ascii="Times New Roman" w:eastAsia="Times New Roman" w:hAnsi="Times New Roman" w:cs="Times New Roman"/>
          <w:color w:val="000000"/>
          <w:sz w:val="27"/>
          <w:szCs w:val="27"/>
          <w:lang w:eastAsia="it-IT"/>
        </w:rPr>
        <w:t>, in qualità di agente;</w:t>
      </w:r>
    </w:p>
    <w:p w:rsidR="00352BE0" w:rsidRPr="00352BE0" w:rsidRDefault="00352BE0" w:rsidP="00352BE0">
      <w:pPr>
        <w:spacing w:before="100" w:beforeAutospacing="1" w:after="240" w:line="240" w:lineRule="auto"/>
        <w:ind w:left="1134" w:hanging="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        per il governo polacco, da M. </w:t>
      </w:r>
      <w:proofErr w:type="spellStart"/>
      <w:r w:rsidRPr="00352BE0">
        <w:rPr>
          <w:rFonts w:ascii="Times New Roman" w:eastAsia="Times New Roman" w:hAnsi="Times New Roman" w:cs="Times New Roman"/>
          <w:color w:val="000000"/>
          <w:sz w:val="27"/>
          <w:szCs w:val="27"/>
          <w:lang w:eastAsia="it-IT"/>
        </w:rPr>
        <w:t>Szpunar</w:t>
      </w:r>
      <w:proofErr w:type="spellEnd"/>
      <w:r w:rsidRPr="00352BE0">
        <w:rPr>
          <w:rFonts w:ascii="Times New Roman" w:eastAsia="Times New Roman" w:hAnsi="Times New Roman" w:cs="Times New Roman"/>
          <w:color w:val="000000"/>
          <w:sz w:val="27"/>
          <w:szCs w:val="27"/>
          <w:lang w:eastAsia="it-IT"/>
        </w:rPr>
        <w:t>, in qualità di agente;</w:t>
      </w:r>
    </w:p>
    <w:p w:rsidR="00352BE0" w:rsidRPr="00352BE0" w:rsidRDefault="00352BE0" w:rsidP="00352BE0">
      <w:pPr>
        <w:spacing w:before="100" w:beforeAutospacing="1" w:after="240" w:line="240" w:lineRule="auto"/>
        <w:ind w:left="1134" w:hanging="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        per la Commissione europea, da C. Zadra e da P. Manzini, in qualità di agenti,</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sentite le conclusioni dell’avvocato generale, presentate all’udienza del 19 luglio 2012,</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ha pronunciato la seguente</w:t>
      </w:r>
    </w:p>
    <w:p w:rsidR="00352BE0" w:rsidRPr="00352BE0" w:rsidRDefault="00352BE0" w:rsidP="00352BE0">
      <w:pPr>
        <w:spacing w:before="480" w:after="480" w:line="240" w:lineRule="auto"/>
        <w:ind w:left="567"/>
        <w:jc w:val="center"/>
        <w:rPr>
          <w:rFonts w:ascii="Times New Roman" w:eastAsia="Times New Roman" w:hAnsi="Times New Roman" w:cs="Times New Roman"/>
          <w:b/>
          <w:bCs/>
          <w:color w:val="000000"/>
          <w:sz w:val="27"/>
          <w:szCs w:val="27"/>
          <w:lang w:eastAsia="it-IT"/>
        </w:rPr>
      </w:pPr>
      <w:r w:rsidRPr="00352BE0">
        <w:rPr>
          <w:rFonts w:ascii="Times New Roman" w:eastAsia="Times New Roman" w:hAnsi="Times New Roman" w:cs="Times New Roman"/>
          <w:b/>
          <w:bCs/>
          <w:color w:val="000000"/>
          <w:sz w:val="27"/>
          <w:szCs w:val="27"/>
          <w:lang w:eastAsia="it-IT"/>
        </w:rPr>
        <w:t>Sentenza</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 w:name="point1"/>
      <w:r w:rsidRPr="00352BE0">
        <w:rPr>
          <w:rFonts w:ascii="Times New Roman" w:eastAsia="Times New Roman" w:hAnsi="Times New Roman" w:cs="Times New Roman"/>
          <w:color w:val="000000"/>
          <w:sz w:val="27"/>
          <w:szCs w:val="27"/>
          <w:lang w:eastAsia="it-IT"/>
        </w:rPr>
        <w:t>1</w:t>
      </w:r>
      <w:bookmarkEnd w:id="1"/>
      <w:r w:rsidRPr="00352BE0">
        <w:rPr>
          <w:rFonts w:ascii="Times New Roman" w:eastAsia="Times New Roman" w:hAnsi="Times New Roman" w:cs="Times New Roman"/>
          <w:color w:val="000000"/>
          <w:sz w:val="27"/>
          <w:szCs w:val="27"/>
          <w:lang w:eastAsia="it-IT"/>
        </w:rPr>
        <w:t xml:space="preserve">        Le domande di pronuncia pregiudiziale vertono sull’interpretazione del diritto dell’Unione in materia di presupposti di applicabilità dell’eccezione riguardante l’affidamento diretto, cosiddetto «in </w:t>
      </w:r>
      <w:proofErr w:type="spellStart"/>
      <w:r w:rsidRPr="00352BE0">
        <w:rPr>
          <w:rFonts w:ascii="Times New Roman" w:eastAsia="Times New Roman" w:hAnsi="Times New Roman" w:cs="Times New Roman"/>
          <w:color w:val="000000"/>
          <w:sz w:val="27"/>
          <w:szCs w:val="27"/>
          <w:lang w:eastAsia="it-IT"/>
        </w:rPr>
        <w:t>house</w:t>
      </w:r>
      <w:proofErr w:type="spellEnd"/>
      <w:r w:rsidRPr="00352BE0">
        <w:rPr>
          <w:rFonts w:ascii="Times New Roman" w:eastAsia="Times New Roman" w:hAnsi="Times New Roman" w:cs="Times New Roman"/>
          <w:color w:val="000000"/>
          <w:sz w:val="27"/>
          <w:szCs w:val="27"/>
          <w:lang w:eastAsia="it-IT"/>
        </w:rPr>
        <w:t>», di un servizio di interesse pubblico.</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 w:name="point2"/>
      <w:r w:rsidRPr="00352BE0">
        <w:rPr>
          <w:rFonts w:ascii="Times New Roman" w:eastAsia="Times New Roman" w:hAnsi="Times New Roman" w:cs="Times New Roman"/>
          <w:color w:val="000000"/>
          <w:sz w:val="27"/>
          <w:szCs w:val="27"/>
          <w:lang w:eastAsia="it-IT"/>
        </w:rPr>
        <w:t>2</w:t>
      </w:r>
      <w:bookmarkEnd w:id="2"/>
      <w:r w:rsidRPr="00352BE0">
        <w:rPr>
          <w:rFonts w:ascii="Times New Roman" w:eastAsia="Times New Roman" w:hAnsi="Times New Roman" w:cs="Times New Roman"/>
          <w:color w:val="000000"/>
          <w:sz w:val="27"/>
          <w:szCs w:val="27"/>
          <w:lang w:eastAsia="it-IT"/>
        </w:rPr>
        <w:t xml:space="preserve">        Tali domande sono state presentate nell’ambito di controversie instaurate dalla </w:t>
      </w:r>
      <w:proofErr w:type="spellStart"/>
      <w:r w:rsidRPr="00352BE0">
        <w:rPr>
          <w:rFonts w:ascii="Times New Roman" w:eastAsia="Times New Roman" w:hAnsi="Times New Roman" w:cs="Times New Roman"/>
          <w:color w:val="000000"/>
          <w:sz w:val="27"/>
          <w:szCs w:val="27"/>
          <w:lang w:eastAsia="it-IT"/>
        </w:rPr>
        <w:t>Econord</w:t>
      </w:r>
      <w:proofErr w:type="spellEnd"/>
      <w:r w:rsidRPr="00352BE0">
        <w:rPr>
          <w:rFonts w:ascii="Times New Roman" w:eastAsia="Times New Roman" w:hAnsi="Times New Roman" w:cs="Times New Roman"/>
          <w:color w:val="000000"/>
          <w:sz w:val="27"/>
          <w:szCs w:val="27"/>
          <w:lang w:eastAsia="it-IT"/>
        </w:rPr>
        <w:t xml:space="preserve"> </w:t>
      </w:r>
      <w:proofErr w:type="spellStart"/>
      <w:r w:rsidRPr="00352BE0">
        <w:rPr>
          <w:rFonts w:ascii="Times New Roman" w:eastAsia="Times New Roman" w:hAnsi="Times New Roman" w:cs="Times New Roman"/>
          <w:color w:val="000000"/>
          <w:sz w:val="27"/>
          <w:szCs w:val="27"/>
          <w:lang w:eastAsia="it-IT"/>
        </w:rPr>
        <w:t>SpA</w:t>
      </w:r>
      <w:proofErr w:type="spellEnd"/>
      <w:r w:rsidRPr="00352BE0">
        <w:rPr>
          <w:rFonts w:ascii="Times New Roman" w:eastAsia="Times New Roman" w:hAnsi="Times New Roman" w:cs="Times New Roman"/>
          <w:color w:val="000000"/>
          <w:sz w:val="27"/>
          <w:szCs w:val="27"/>
          <w:lang w:eastAsia="it-IT"/>
        </w:rPr>
        <w:t xml:space="preserve"> contro il Comune di Varese, il Comune di Cagno e il Comune di Solbiate, e aventi ad oggetto la regolarità dell’affidamento diretto, da parte dei due comuni ultimi citati, di un appalto di servizi alla ASPEM </w:t>
      </w:r>
      <w:proofErr w:type="spellStart"/>
      <w:r w:rsidRPr="00352BE0">
        <w:rPr>
          <w:rFonts w:ascii="Times New Roman" w:eastAsia="Times New Roman" w:hAnsi="Times New Roman" w:cs="Times New Roman"/>
          <w:color w:val="000000"/>
          <w:sz w:val="27"/>
          <w:szCs w:val="27"/>
          <w:lang w:eastAsia="it-IT"/>
        </w:rPr>
        <w:t>SpA</w:t>
      </w:r>
      <w:proofErr w:type="spellEnd"/>
      <w:r w:rsidRPr="00352BE0">
        <w:rPr>
          <w:rFonts w:ascii="Times New Roman" w:eastAsia="Times New Roman" w:hAnsi="Times New Roman" w:cs="Times New Roman"/>
          <w:color w:val="000000"/>
          <w:sz w:val="27"/>
          <w:szCs w:val="27"/>
          <w:lang w:eastAsia="it-IT"/>
        </w:rPr>
        <w:t xml:space="preserve"> (in prosieguo: la «ASPEM») senza l’organizzazione di una procedura di aggiudicazione di tale appalto in conformità alle norme del diritto dell’Unione.</w:t>
      </w:r>
    </w:p>
    <w:p w:rsidR="00352BE0" w:rsidRPr="00352BE0" w:rsidRDefault="00352BE0" w:rsidP="00352BE0">
      <w:pPr>
        <w:spacing w:before="480" w:after="240" w:line="240" w:lineRule="auto"/>
        <w:ind w:left="567"/>
        <w:jc w:val="both"/>
        <w:rPr>
          <w:rFonts w:ascii="Times New Roman" w:eastAsia="Times New Roman" w:hAnsi="Times New Roman" w:cs="Times New Roman"/>
          <w:b/>
          <w:bCs/>
          <w:color w:val="000000"/>
          <w:sz w:val="27"/>
          <w:szCs w:val="27"/>
          <w:lang w:eastAsia="it-IT"/>
        </w:rPr>
      </w:pPr>
      <w:r w:rsidRPr="00352BE0">
        <w:rPr>
          <w:rFonts w:ascii="Times New Roman" w:eastAsia="Times New Roman" w:hAnsi="Times New Roman" w:cs="Times New Roman"/>
          <w:b/>
          <w:bCs/>
          <w:color w:val="000000"/>
          <w:sz w:val="27"/>
          <w:szCs w:val="27"/>
          <w:lang w:eastAsia="it-IT"/>
        </w:rPr>
        <w:t> Contesto normativo</w:t>
      </w:r>
    </w:p>
    <w:p w:rsidR="00352BE0" w:rsidRPr="00352BE0" w:rsidRDefault="00352BE0" w:rsidP="00352BE0">
      <w:pPr>
        <w:spacing w:after="240" w:line="240" w:lineRule="auto"/>
        <w:ind w:left="567"/>
        <w:jc w:val="both"/>
        <w:rPr>
          <w:rFonts w:ascii="Times New Roman" w:eastAsia="Times New Roman" w:hAnsi="Times New Roman" w:cs="Times New Roman"/>
          <w:i/>
          <w:iCs/>
          <w:color w:val="000000"/>
          <w:sz w:val="27"/>
          <w:szCs w:val="27"/>
          <w:lang w:eastAsia="it-IT"/>
        </w:rPr>
      </w:pPr>
      <w:r w:rsidRPr="00352BE0">
        <w:rPr>
          <w:rFonts w:ascii="Times New Roman" w:eastAsia="Times New Roman" w:hAnsi="Times New Roman" w:cs="Times New Roman"/>
          <w:i/>
          <w:iCs/>
          <w:color w:val="000000"/>
          <w:sz w:val="27"/>
          <w:szCs w:val="27"/>
          <w:lang w:eastAsia="it-IT"/>
        </w:rPr>
        <w:t> Il diritto dell’Unione</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 w:name="point3"/>
      <w:r w:rsidRPr="00352BE0">
        <w:rPr>
          <w:rFonts w:ascii="Times New Roman" w:eastAsia="Times New Roman" w:hAnsi="Times New Roman" w:cs="Times New Roman"/>
          <w:color w:val="000000"/>
          <w:sz w:val="27"/>
          <w:szCs w:val="27"/>
          <w:lang w:eastAsia="it-IT"/>
        </w:rPr>
        <w:t>3</w:t>
      </w:r>
      <w:bookmarkEnd w:id="3"/>
      <w:r w:rsidRPr="00352BE0">
        <w:rPr>
          <w:rFonts w:ascii="Times New Roman" w:eastAsia="Times New Roman" w:hAnsi="Times New Roman" w:cs="Times New Roman"/>
          <w:color w:val="000000"/>
          <w:sz w:val="27"/>
          <w:szCs w:val="27"/>
          <w:lang w:eastAsia="it-IT"/>
        </w:rPr>
        <w:t>        L’articolo 1 della direttiva 2004/18/CE del Parlamento europeo e del Consiglio, del 31 marzo 2004, relativa al coordinamento delle procedure di aggiudicazione degli appalti pubblici di lavori, di forniture e di servizi (GU L 134, pag. 114), intitolato «Definizioni», enuncia, al paragrafo 2, quanto segue:</w:t>
      </w:r>
    </w:p>
    <w:p w:rsidR="00352BE0" w:rsidRPr="00352BE0" w:rsidRDefault="00352BE0" w:rsidP="00352BE0">
      <w:pPr>
        <w:spacing w:after="240" w:line="240" w:lineRule="auto"/>
        <w:ind w:left="1134" w:hanging="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«a)      Gli “appalti pubblici” sono contratti a titolo oneroso stipulati per iscritto tra uno o più operatori economici e una o più amministrazioni aggiudicatrici aventi per oggetto l’esecuzione di lavori, la fornitura di prodotti o la prestazione di servizi ai sensi della presente direttiva.</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w:t>
      </w:r>
    </w:p>
    <w:p w:rsidR="00352BE0" w:rsidRPr="00352BE0" w:rsidRDefault="00352BE0" w:rsidP="00352BE0">
      <w:pPr>
        <w:spacing w:after="240" w:line="240" w:lineRule="auto"/>
        <w:ind w:left="1134" w:hanging="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lastRenderedPageBreak/>
        <w:t>d)      Gli “appalti pubblici di servizi” sono appalti pubblici diversi dagli appalti pubblici di lavori o di forniture aventi per oggetto la prestazione dei servizi di cui all’allegato II.</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4" w:name="point4"/>
      <w:r w:rsidRPr="00352BE0">
        <w:rPr>
          <w:rFonts w:ascii="Times New Roman" w:eastAsia="Times New Roman" w:hAnsi="Times New Roman" w:cs="Times New Roman"/>
          <w:color w:val="000000"/>
          <w:sz w:val="27"/>
          <w:szCs w:val="27"/>
          <w:lang w:eastAsia="it-IT"/>
        </w:rPr>
        <w:t>4</w:t>
      </w:r>
      <w:bookmarkEnd w:id="4"/>
      <w:r w:rsidRPr="00352BE0">
        <w:rPr>
          <w:rFonts w:ascii="Times New Roman" w:eastAsia="Times New Roman" w:hAnsi="Times New Roman" w:cs="Times New Roman"/>
          <w:color w:val="000000"/>
          <w:sz w:val="27"/>
          <w:szCs w:val="27"/>
          <w:lang w:eastAsia="it-IT"/>
        </w:rPr>
        <w:t>        L’articolo 1, paragrafo 4, di detta direttiva così dispone:</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«La “concessione di servizi” è un contratto che presenta le stesse caratteristiche di un appalto pubblico di servizi, ad eccezione del fatto che il corrispettivo della fornitura di servizi consiste unicamente nel diritto di gestire i servizi o in tale diritto accompagnato da un prezzo».</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5" w:name="point5"/>
      <w:r w:rsidRPr="00352BE0">
        <w:rPr>
          <w:rFonts w:ascii="Times New Roman" w:eastAsia="Times New Roman" w:hAnsi="Times New Roman" w:cs="Times New Roman"/>
          <w:color w:val="000000"/>
          <w:sz w:val="27"/>
          <w:szCs w:val="27"/>
          <w:lang w:eastAsia="it-IT"/>
        </w:rPr>
        <w:t>5</w:t>
      </w:r>
      <w:bookmarkEnd w:id="5"/>
      <w:r w:rsidRPr="00352BE0">
        <w:rPr>
          <w:rFonts w:ascii="Times New Roman" w:eastAsia="Times New Roman" w:hAnsi="Times New Roman" w:cs="Times New Roman"/>
          <w:color w:val="000000"/>
          <w:sz w:val="27"/>
          <w:szCs w:val="27"/>
          <w:lang w:eastAsia="it-IT"/>
        </w:rPr>
        <w:t>        Ai sensi dell’articolo 20 della medesima direttiva:</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«Gli appalti aventi per oggetto i servizi elencati nell’allegato II A sono aggiudicati secondo gli articoli da 23 a 55».</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6" w:name="point6"/>
      <w:r w:rsidRPr="00352BE0">
        <w:rPr>
          <w:rFonts w:ascii="Times New Roman" w:eastAsia="Times New Roman" w:hAnsi="Times New Roman" w:cs="Times New Roman"/>
          <w:color w:val="000000"/>
          <w:sz w:val="27"/>
          <w:szCs w:val="27"/>
          <w:lang w:eastAsia="it-IT"/>
        </w:rPr>
        <w:t>6</w:t>
      </w:r>
      <w:bookmarkEnd w:id="6"/>
      <w:r w:rsidRPr="00352BE0">
        <w:rPr>
          <w:rFonts w:ascii="Times New Roman" w:eastAsia="Times New Roman" w:hAnsi="Times New Roman" w:cs="Times New Roman"/>
          <w:color w:val="000000"/>
          <w:sz w:val="27"/>
          <w:szCs w:val="27"/>
          <w:lang w:eastAsia="it-IT"/>
        </w:rPr>
        <w:t>        Al punto 16 dell’allegato II A della citata direttiva vengono menzionati i servizi di «eliminazione di scarichi di fogna e di rifiuti; disinfestazione e servizi analoghi».</w:t>
      </w:r>
    </w:p>
    <w:p w:rsidR="00352BE0" w:rsidRPr="00352BE0" w:rsidRDefault="00352BE0" w:rsidP="00352BE0">
      <w:pPr>
        <w:spacing w:after="240" w:line="240" w:lineRule="auto"/>
        <w:ind w:left="567"/>
        <w:jc w:val="both"/>
        <w:rPr>
          <w:rFonts w:ascii="Times New Roman" w:eastAsia="Times New Roman" w:hAnsi="Times New Roman" w:cs="Times New Roman"/>
          <w:i/>
          <w:iCs/>
          <w:color w:val="000000"/>
          <w:sz w:val="27"/>
          <w:szCs w:val="27"/>
          <w:lang w:eastAsia="it-IT"/>
        </w:rPr>
      </w:pPr>
      <w:r w:rsidRPr="00352BE0">
        <w:rPr>
          <w:rFonts w:ascii="Times New Roman" w:eastAsia="Times New Roman" w:hAnsi="Times New Roman" w:cs="Times New Roman"/>
          <w:i/>
          <w:iCs/>
          <w:color w:val="000000"/>
          <w:sz w:val="27"/>
          <w:szCs w:val="27"/>
          <w:lang w:eastAsia="it-IT"/>
        </w:rPr>
        <w:t> Il diritto italiano</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7" w:name="point7"/>
      <w:r w:rsidRPr="00352BE0">
        <w:rPr>
          <w:rFonts w:ascii="Times New Roman" w:eastAsia="Times New Roman" w:hAnsi="Times New Roman" w:cs="Times New Roman"/>
          <w:color w:val="000000"/>
          <w:sz w:val="27"/>
          <w:szCs w:val="27"/>
          <w:lang w:eastAsia="it-IT"/>
        </w:rPr>
        <w:t>7</w:t>
      </w:r>
      <w:bookmarkEnd w:id="7"/>
      <w:r w:rsidRPr="00352BE0">
        <w:rPr>
          <w:rFonts w:ascii="Times New Roman" w:eastAsia="Times New Roman" w:hAnsi="Times New Roman" w:cs="Times New Roman"/>
          <w:color w:val="000000"/>
          <w:sz w:val="27"/>
          <w:szCs w:val="27"/>
          <w:lang w:eastAsia="it-IT"/>
        </w:rPr>
        <w:t>        L’articolo 30 del decreto legislativo n. 267, del 18 agosto 2000 (testo unico delle leggi sull’ordinamento degli enti locali) (GURI n. 227, del 28 settembre 2000 – supplemento ordinario n. 162; in prosieguo: il «decreto legislativo n. 267/2000»), così recita:</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«1.      Al fine di svolgere in modo coordinato funzioni e servizi determinati, gli enti locali possono stipulare tra loro apposite convenzioni.</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2.      Le convenzioni devono stabilire i fini, la durata, le forme di consultazione degli enti contraenti, i loro rapporti finanziari ed i reciproci obblighi e garanzie.</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3.      Per la gestione a tempo determinato di uno specifico servizio o per la realizzazione di un’opera lo Stato e la Regione, nelle materie di propria competenza, possono prevedere forme di convenzione obbligatoria fra enti locali, previa statuizione di un disciplinare</w:t>
      </w:r>
      <w:r w:rsidRPr="00352BE0">
        <w:rPr>
          <w:rFonts w:ascii="Times New Roman" w:eastAsia="Times New Roman" w:hAnsi="Times New Roman" w:cs="Times New Roman"/>
          <w:color w:val="000000"/>
          <w:sz w:val="27"/>
          <w:szCs w:val="27"/>
          <w:lang w:eastAsia="it-IT"/>
        </w:rPr>
        <w:noBreakHyphen/>
        <w:t>tipo.</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4.      Le convenzioni di cui al presente articolo possono prevedere anche la costituzione di uffici comuni, che operano con personale distaccato dagli enti partecipanti, ai quali affidare l’esercizio delle funzioni pubbliche in luogo degli enti partecipanti all’accordo, ovvero la delega di funzioni da parte degli enti partecipanti all’accordo a favore di uno di essi, che opera in luogo e per conto degli enti deleganti».</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8" w:name="point8"/>
      <w:r w:rsidRPr="00352BE0">
        <w:rPr>
          <w:rFonts w:ascii="Times New Roman" w:eastAsia="Times New Roman" w:hAnsi="Times New Roman" w:cs="Times New Roman"/>
          <w:color w:val="000000"/>
          <w:sz w:val="27"/>
          <w:szCs w:val="27"/>
          <w:lang w:eastAsia="it-IT"/>
        </w:rPr>
        <w:lastRenderedPageBreak/>
        <w:t>8</w:t>
      </w:r>
      <w:bookmarkEnd w:id="8"/>
      <w:r w:rsidRPr="00352BE0">
        <w:rPr>
          <w:rFonts w:ascii="Times New Roman" w:eastAsia="Times New Roman" w:hAnsi="Times New Roman" w:cs="Times New Roman"/>
          <w:color w:val="000000"/>
          <w:sz w:val="27"/>
          <w:szCs w:val="27"/>
          <w:lang w:eastAsia="it-IT"/>
        </w:rPr>
        <w:t>        L’articolo 113 del decreto legislativo n. 267/2000, intitolato «Gestione delle reti ed erogazione dei servizi pubblici locali di rilevanza economica», dispone, al quinto comma, quanto segue:</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«L’erogazione [di un servizio pubblico locale da parte di un ente locale] avviene secondo le discipline di settore e nel rispetto della normativa dell’Unione europea, con conferimento della titolarità del servizio:</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w:t>
      </w:r>
    </w:p>
    <w:p w:rsidR="00352BE0" w:rsidRPr="00352BE0" w:rsidRDefault="00352BE0" w:rsidP="00352BE0">
      <w:pPr>
        <w:spacing w:after="240" w:line="240" w:lineRule="auto"/>
        <w:ind w:left="1134" w:hanging="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c)      a società a capitale interamente pubblico a condizione che l’ente o gli enti pubblici titolari del capitale sociale esercitino sulla società un controllo analogo a quello esercitato sui propri servizi e che la società realizzi la parte più importante della propria attività con l’ente o gli enti pubblici che la controllano».</w:t>
      </w:r>
    </w:p>
    <w:p w:rsidR="00352BE0" w:rsidRPr="00352BE0" w:rsidRDefault="00352BE0" w:rsidP="00352BE0">
      <w:pPr>
        <w:spacing w:before="480" w:after="240" w:line="240" w:lineRule="auto"/>
        <w:ind w:left="567"/>
        <w:jc w:val="both"/>
        <w:rPr>
          <w:rFonts w:ascii="Times New Roman" w:eastAsia="Times New Roman" w:hAnsi="Times New Roman" w:cs="Times New Roman"/>
          <w:b/>
          <w:bCs/>
          <w:color w:val="000000"/>
          <w:sz w:val="27"/>
          <w:szCs w:val="27"/>
          <w:lang w:eastAsia="it-IT"/>
        </w:rPr>
      </w:pPr>
      <w:r w:rsidRPr="00352BE0">
        <w:rPr>
          <w:rFonts w:ascii="Times New Roman" w:eastAsia="Times New Roman" w:hAnsi="Times New Roman" w:cs="Times New Roman"/>
          <w:b/>
          <w:bCs/>
          <w:color w:val="000000"/>
          <w:sz w:val="27"/>
          <w:szCs w:val="27"/>
          <w:lang w:eastAsia="it-IT"/>
        </w:rPr>
        <w:t> Fatti all’origine della controversia e questione pregiudiziale</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9" w:name="point9"/>
      <w:r w:rsidRPr="00352BE0">
        <w:rPr>
          <w:rFonts w:ascii="Times New Roman" w:eastAsia="Times New Roman" w:hAnsi="Times New Roman" w:cs="Times New Roman"/>
          <w:color w:val="000000"/>
          <w:sz w:val="27"/>
          <w:szCs w:val="27"/>
          <w:lang w:eastAsia="it-IT"/>
        </w:rPr>
        <w:t>9</w:t>
      </w:r>
      <w:bookmarkEnd w:id="9"/>
      <w:r w:rsidRPr="00352BE0">
        <w:rPr>
          <w:rFonts w:ascii="Times New Roman" w:eastAsia="Times New Roman" w:hAnsi="Times New Roman" w:cs="Times New Roman"/>
          <w:color w:val="000000"/>
          <w:sz w:val="27"/>
          <w:szCs w:val="27"/>
          <w:lang w:eastAsia="it-IT"/>
        </w:rPr>
        <w:t xml:space="preserve">        Risulta dal fascicolo sottoposto alla Corte che il Comune di Varese, al fine di gestire servizi pubblici nel suo territorio, segnatamente quello di igiene urbana, ha costituito la ASPEM, quale prestatore di servizi «in </w:t>
      </w:r>
      <w:proofErr w:type="spellStart"/>
      <w:r w:rsidRPr="00352BE0">
        <w:rPr>
          <w:rFonts w:ascii="Times New Roman" w:eastAsia="Times New Roman" w:hAnsi="Times New Roman" w:cs="Times New Roman"/>
          <w:color w:val="000000"/>
          <w:sz w:val="27"/>
          <w:szCs w:val="27"/>
          <w:lang w:eastAsia="it-IT"/>
        </w:rPr>
        <w:t>house</w:t>
      </w:r>
      <w:proofErr w:type="spellEnd"/>
      <w:r w:rsidRPr="00352BE0">
        <w:rPr>
          <w:rFonts w:ascii="Times New Roman" w:eastAsia="Times New Roman" w:hAnsi="Times New Roman" w:cs="Times New Roman"/>
          <w:color w:val="000000"/>
          <w:sz w:val="27"/>
          <w:szCs w:val="27"/>
          <w:lang w:eastAsia="it-IT"/>
        </w:rPr>
        <w:t>». All’epoca dei fatti, il Comune di Varese deteneva la quasi totalità del capitale di tale società, ciò che gli garantiva il controllo di quest’ultima.</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0" w:name="point10"/>
      <w:r w:rsidRPr="00352BE0">
        <w:rPr>
          <w:rFonts w:ascii="Times New Roman" w:eastAsia="Times New Roman" w:hAnsi="Times New Roman" w:cs="Times New Roman"/>
          <w:color w:val="000000"/>
          <w:sz w:val="27"/>
          <w:szCs w:val="27"/>
          <w:lang w:eastAsia="it-IT"/>
        </w:rPr>
        <w:t>10</w:t>
      </w:r>
      <w:bookmarkEnd w:id="10"/>
      <w:r w:rsidRPr="00352BE0">
        <w:rPr>
          <w:rFonts w:ascii="Times New Roman" w:eastAsia="Times New Roman" w:hAnsi="Times New Roman" w:cs="Times New Roman"/>
          <w:color w:val="000000"/>
          <w:sz w:val="27"/>
          <w:szCs w:val="27"/>
          <w:lang w:eastAsia="it-IT"/>
        </w:rPr>
        <w:t>      Mediante una serie di deliberazioni adottate nel corso dell’anno 2005, il Comune di Cagno e il Comune di Solbiate hanno scelto quale forma preferenziale di gestione del servizio di igiene urbana, e più in particolare del servizio di eliminazione dei rifiuti solidi urbani, quella della gestione coordinata con altri comuni ai sensi degli articoli 30 e 113, quinto comma, lettera c), del decreto legislativo n. 267/2000 e, a questo scopo, hanno approvato la conclusione di una convenzione con il Comune di Varese per l’affidamento, a titolo oneroso, dei loro servizi di igiene urbana alla ASPEM, aderendo a tale società in qualità di azionisti pubblici, mediante la partecipazione al capitale sociale attuata attraverso l’acquisizione, da parte dei suddetti comuni, di un’azione ciascuno.</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1" w:name="point11"/>
      <w:r w:rsidRPr="00352BE0">
        <w:rPr>
          <w:rFonts w:ascii="Times New Roman" w:eastAsia="Times New Roman" w:hAnsi="Times New Roman" w:cs="Times New Roman"/>
          <w:color w:val="000000"/>
          <w:sz w:val="27"/>
          <w:szCs w:val="27"/>
          <w:lang w:eastAsia="it-IT"/>
        </w:rPr>
        <w:t>11</w:t>
      </w:r>
      <w:bookmarkEnd w:id="11"/>
      <w:r w:rsidRPr="00352BE0">
        <w:rPr>
          <w:rFonts w:ascii="Times New Roman" w:eastAsia="Times New Roman" w:hAnsi="Times New Roman" w:cs="Times New Roman"/>
          <w:color w:val="000000"/>
          <w:sz w:val="27"/>
          <w:szCs w:val="27"/>
          <w:lang w:eastAsia="it-IT"/>
        </w:rPr>
        <w:t>      Risulta dal fascicolo presentato alla Corte che il capitale sociale della ASPEM ammonta ad EUR 173 785, rappresentato da altrettante azioni del valore nominale di EUR 1 ciascuna. Il Comune di Varese detiene la maggioranza del capitale in virtù del possesso di 173 467 azioni. Le restanti 318 azioni sono suddivise tra 36 comuni della provincia di Varese, con partecipazioni individuali che variano da 1 a 19 azioni.</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2" w:name="point12"/>
      <w:r w:rsidRPr="00352BE0">
        <w:rPr>
          <w:rFonts w:ascii="Times New Roman" w:eastAsia="Times New Roman" w:hAnsi="Times New Roman" w:cs="Times New Roman"/>
          <w:color w:val="000000"/>
          <w:sz w:val="27"/>
          <w:szCs w:val="27"/>
          <w:lang w:eastAsia="it-IT"/>
        </w:rPr>
        <w:t>12</w:t>
      </w:r>
      <w:bookmarkEnd w:id="12"/>
      <w:r w:rsidRPr="00352BE0">
        <w:rPr>
          <w:rFonts w:ascii="Times New Roman" w:eastAsia="Times New Roman" w:hAnsi="Times New Roman" w:cs="Times New Roman"/>
          <w:color w:val="000000"/>
          <w:sz w:val="27"/>
          <w:szCs w:val="27"/>
          <w:lang w:eastAsia="it-IT"/>
        </w:rPr>
        <w:t xml:space="preserve">      Parallelamente all’acquisizione di tale partecipazione, il Comune di Cagno e il Comune di Solbiate hanno proceduto, insieme con altri comuni interessati, alla sottoscrizione di un patto parasociale tra azionisti, il quale prevedeva il loro diritto di essere consultati, di nominare un membro del collegio sindacale e di designare, </w:t>
      </w:r>
      <w:r w:rsidRPr="00352BE0">
        <w:rPr>
          <w:rFonts w:ascii="Times New Roman" w:eastAsia="Times New Roman" w:hAnsi="Times New Roman" w:cs="Times New Roman"/>
          <w:color w:val="000000"/>
          <w:sz w:val="27"/>
          <w:szCs w:val="27"/>
          <w:lang w:eastAsia="it-IT"/>
        </w:rPr>
        <w:lastRenderedPageBreak/>
        <w:t>in accordo con gli altri comuni partecipanti al patto di sindacato, un consigliere di amministrazione.</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3" w:name="point13"/>
      <w:r w:rsidRPr="00352BE0">
        <w:rPr>
          <w:rFonts w:ascii="Times New Roman" w:eastAsia="Times New Roman" w:hAnsi="Times New Roman" w:cs="Times New Roman"/>
          <w:color w:val="000000"/>
          <w:sz w:val="27"/>
          <w:szCs w:val="27"/>
          <w:lang w:eastAsia="it-IT"/>
        </w:rPr>
        <w:t>13</w:t>
      </w:r>
      <w:bookmarkEnd w:id="13"/>
      <w:r w:rsidRPr="00352BE0">
        <w:rPr>
          <w:rFonts w:ascii="Times New Roman" w:eastAsia="Times New Roman" w:hAnsi="Times New Roman" w:cs="Times New Roman"/>
          <w:color w:val="000000"/>
          <w:sz w:val="27"/>
          <w:szCs w:val="27"/>
          <w:lang w:eastAsia="it-IT"/>
        </w:rPr>
        <w:t xml:space="preserve">      In tale contesto, i due comuni suddetti hanno ritenuto che esistessero i presupposti per un affidamento «in </w:t>
      </w:r>
      <w:proofErr w:type="spellStart"/>
      <w:r w:rsidRPr="00352BE0">
        <w:rPr>
          <w:rFonts w:ascii="Times New Roman" w:eastAsia="Times New Roman" w:hAnsi="Times New Roman" w:cs="Times New Roman"/>
          <w:color w:val="000000"/>
          <w:sz w:val="27"/>
          <w:szCs w:val="27"/>
          <w:lang w:eastAsia="it-IT"/>
        </w:rPr>
        <w:t>house</w:t>
      </w:r>
      <w:proofErr w:type="spellEnd"/>
      <w:r w:rsidRPr="00352BE0">
        <w:rPr>
          <w:rFonts w:ascii="Times New Roman" w:eastAsia="Times New Roman" w:hAnsi="Times New Roman" w:cs="Times New Roman"/>
          <w:color w:val="000000"/>
          <w:sz w:val="27"/>
          <w:szCs w:val="27"/>
          <w:lang w:eastAsia="it-IT"/>
        </w:rPr>
        <w:t xml:space="preserve">» del servizio di interesse pubblico in questione, dal momento che la ASPEM era controllata congiuntamente da vari enti locali. Essi hanno pertanto affidato direttamente tale appalto alla ASPEM. La </w:t>
      </w:r>
      <w:proofErr w:type="spellStart"/>
      <w:r w:rsidRPr="00352BE0">
        <w:rPr>
          <w:rFonts w:ascii="Times New Roman" w:eastAsia="Times New Roman" w:hAnsi="Times New Roman" w:cs="Times New Roman"/>
          <w:color w:val="000000"/>
          <w:sz w:val="27"/>
          <w:szCs w:val="27"/>
          <w:lang w:eastAsia="it-IT"/>
        </w:rPr>
        <w:t>Econord</w:t>
      </w:r>
      <w:proofErr w:type="spellEnd"/>
      <w:r w:rsidRPr="00352BE0">
        <w:rPr>
          <w:rFonts w:ascii="Times New Roman" w:eastAsia="Times New Roman" w:hAnsi="Times New Roman" w:cs="Times New Roman"/>
          <w:color w:val="000000"/>
          <w:sz w:val="27"/>
          <w:szCs w:val="27"/>
          <w:lang w:eastAsia="it-IT"/>
        </w:rPr>
        <w:t xml:space="preserve"> </w:t>
      </w:r>
      <w:proofErr w:type="spellStart"/>
      <w:r w:rsidRPr="00352BE0">
        <w:rPr>
          <w:rFonts w:ascii="Times New Roman" w:eastAsia="Times New Roman" w:hAnsi="Times New Roman" w:cs="Times New Roman"/>
          <w:color w:val="000000"/>
          <w:sz w:val="27"/>
          <w:szCs w:val="27"/>
          <w:lang w:eastAsia="it-IT"/>
        </w:rPr>
        <w:t>SpA</w:t>
      </w:r>
      <w:proofErr w:type="spellEnd"/>
      <w:r w:rsidRPr="00352BE0">
        <w:rPr>
          <w:rFonts w:ascii="Times New Roman" w:eastAsia="Times New Roman" w:hAnsi="Times New Roman" w:cs="Times New Roman"/>
          <w:color w:val="000000"/>
          <w:sz w:val="27"/>
          <w:szCs w:val="27"/>
          <w:lang w:eastAsia="it-IT"/>
        </w:rPr>
        <w:t xml:space="preserve"> ha contestato tale affidamento diretto, facendo valere che, nella fattispecie, il controllo dei due comuni sulla ASPEM non era garantito e che, di conseguenza, l’attribuzione dell’appalto avrebbe dovuto essere effettuata in conformità alle norme del diritto dell’Unione.</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4" w:name="point14"/>
      <w:r w:rsidRPr="00352BE0">
        <w:rPr>
          <w:rFonts w:ascii="Times New Roman" w:eastAsia="Times New Roman" w:hAnsi="Times New Roman" w:cs="Times New Roman"/>
          <w:color w:val="000000"/>
          <w:sz w:val="27"/>
          <w:szCs w:val="27"/>
          <w:lang w:eastAsia="it-IT"/>
        </w:rPr>
        <w:t>14</w:t>
      </w:r>
      <w:bookmarkEnd w:id="14"/>
      <w:r w:rsidRPr="00352BE0">
        <w:rPr>
          <w:rFonts w:ascii="Times New Roman" w:eastAsia="Times New Roman" w:hAnsi="Times New Roman" w:cs="Times New Roman"/>
          <w:color w:val="000000"/>
          <w:sz w:val="27"/>
          <w:szCs w:val="27"/>
          <w:lang w:eastAsia="it-IT"/>
        </w:rPr>
        <w:t xml:space="preserve">      Il Consiglio di Stato rileva che la sentenza del 18 novembre 1999, </w:t>
      </w:r>
      <w:proofErr w:type="spellStart"/>
      <w:r w:rsidRPr="00352BE0">
        <w:rPr>
          <w:rFonts w:ascii="Times New Roman" w:eastAsia="Times New Roman" w:hAnsi="Times New Roman" w:cs="Times New Roman"/>
          <w:color w:val="000000"/>
          <w:sz w:val="27"/>
          <w:szCs w:val="27"/>
          <w:lang w:eastAsia="it-IT"/>
        </w:rPr>
        <w:t>Teckal</w:t>
      </w:r>
      <w:proofErr w:type="spellEnd"/>
      <w:r w:rsidRPr="00352BE0">
        <w:rPr>
          <w:rFonts w:ascii="Times New Roman" w:eastAsia="Times New Roman" w:hAnsi="Times New Roman" w:cs="Times New Roman"/>
          <w:color w:val="000000"/>
          <w:sz w:val="27"/>
          <w:szCs w:val="27"/>
          <w:lang w:eastAsia="it-IT"/>
        </w:rPr>
        <w:t xml:space="preserve"> (C</w:t>
      </w:r>
      <w:r w:rsidRPr="00352BE0">
        <w:rPr>
          <w:rFonts w:ascii="Times New Roman" w:eastAsia="Times New Roman" w:hAnsi="Times New Roman" w:cs="Times New Roman"/>
          <w:color w:val="000000"/>
          <w:sz w:val="27"/>
          <w:szCs w:val="27"/>
          <w:lang w:eastAsia="it-IT"/>
        </w:rPr>
        <w:noBreakHyphen/>
        <w:t xml:space="preserve">107/98, </w:t>
      </w:r>
      <w:proofErr w:type="spellStart"/>
      <w:r w:rsidRPr="00352BE0">
        <w:rPr>
          <w:rFonts w:ascii="Times New Roman" w:eastAsia="Times New Roman" w:hAnsi="Times New Roman" w:cs="Times New Roman"/>
          <w:color w:val="000000"/>
          <w:sz w:val="27"/>
          <w:szCs w:val="27"/>
          <w:lang w:eastAsia="it-IT"/>
        </w:rPr>
        <w:t>Racc</w:t>
      </w:r>
      <w:proofErr w:type="spellEnd"/>
      <w:r w:rsidRPr="00352BE0">
        <w:rPr>
          <w:rFonts w:ascii="Times New Roman" w:eastAsia="Times New Roman" w:hAnsi="Times New Roman" w:cs="Times New Roman"/>
          <w:color w:val="000000"/>
          <w:sz w:val="27"/>
          <w:szCs w:val="27"/>
          <w:lang w:eastAsia="it-IT"/>
        </w:rPr>
        <w:t>. pag. I</w:t>
      </w:r>
      <w:r w:rsidRPr="00352BE0">
        <w:rPr>
          <w:rFonts w:ascii="Times New Roman" w:eastAsia="Times New Roman" w:hAnsi="Times New Roman" w:cs="Times New Roman"/>
          <w:color w:val="000000"/>
          <w:sz w:val="27"/>
          <w:szCs w:val="27"/>
          <w:lang w:eastAsia="it-IT"/>
        </w:rPr>
        <w:noBreakHyphen/>
        <w:t xml:space="preserve">8121), ha costituito il punto di partenza della successiva elaborazione giurisprudenziale volta a precisare i presupposti che giustificano l’affidamento diretto di un appalto pubblico. A mente del punto 50 di tale sentenza, l’attribuzione diretta di un appalto è giustificata – anche se effettuata a favore di un soggetto formalmente e giuridicamente distinto dall’amministrazione aggiudicatrice – nel caso in cui, nel contempo, l’ente locale eserciti sul soggetto in questione un controllo analogo a quello da esso esercitato sui propri servizi e tale soggetto realizzi la parte più importante della propria attività con l’ente o con gli enti locali che lo controllano. Infatti, in un simile caso, non può ritenersi che il soggetto in questione rivesta la qualità di terzo rispetto all’amministrazione aggiudicatrice. Il Consiglio di Stato sottolinea che, nei procedimenti principali, delle due condizioni cumulative enunciate al punto 50 della citata sentenza </w:t>
      </w:r>
      <w:proofErr w:type="spellStart"/>
      <w:r w:rsidRPr="00352BE0">
        <w:rPr>
          <w:rFonts w:ascii="Times New Roman" w:eastAsia="Times New Roman" w:hAnsi="Times New Roman" w:cs="Times New Roman"/>
          <w:color w:val="000000"/>
          <w:sz w:val="27"/>
          <w:szCs w:val="27"/>
          <w:lang w:eastAsia="it-IT"/>
        </w:rPr>
        <w:t>Teckal</w:t>
      </w:r>
      <w:proofErr w:type="spellEnd"/>
      <w:r w:rsidRPr="00352BE0">
        <w:rPr>
          <w:rFonts w:ascii="Times New Roman" w:eastAsia="Times New Roman" w:hAnsi="Times New Roman" w:cs="Times New Roman"/>
          <w:color w:val="000000"/>
          <w:sz w:val="27"/>
          <w:szCs w:val="27"/>
          <w:lang w:eastAsia="it-IT"/>
        </w:rPr>
        <w:t>, a venire in discussione è soltanto quella relativa all’esercizio di un «controllo analogo».</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5" w:name="point15"/>
      <w:r w:rsidRPr="00352BE0">
        <w:rPr>
          <w:rFonts w:ascii="Times New Roman" w:eastAsia="Times New Roman" w:hAnsi="Times New Roman" w:cs="Times New Roman"/>
          <w:color w:val="000000"/>
          <w:sz w:val="27"/>
          <w:szCs w:val="27"/>
          <w:lang w:eastAsia="it-IT"/>
        </w:rPr>
        <w:t>15</w:t>
      </w:r>
      <w:bookmarkEnd w:id="15"/>
      <w:r w:rsidRPr="00352BE0">
        <w:rPr>
          <w:rFonts w:ascii="Times New Roman" w:eastAsia="Times New Roman" w:hAnsi="Times New Roman" w:cs="Times New Roman"/>
          <w:color w:val="000000"/>
          <w:sz w:val="27"/>
          <w:szCs w:val="27"/>
          <w:lang w:eastAsia="it-IT"/>
        </w:rPr>
        <w:t>      Il Consiglio di Stato rileva che, nella sentenza del 13 ottobre 2005, Parking Brixen (C</w:t>
      </w:r>
      <w:r w:rsidRPr="00352BE0">
        <w:rPr>
          <w:rFonts w:ascii="Times New Roman" w:eastAsia="Times New Roman" w:hAnsi="Times New Roman" w:cs="Times New Roman"/>
          <w:color w:val="000000"/>
          <w:sz w:val="27"/>
          <w:szCs w:val="27"/>
          <w:lang w:eastAsia="it-IT"/>
        </w:rPr>
        <w:noBreakHyphen/>
        <w:t xml:space="preserve">458/03, </w:t>
      </w:r>
      <w:proofErr w:type="spellStart"/>
      <w:r w:rsidRPr="00352BE0">
        <w:rPr>
          <w:rFonts w:ascii="Times New Roman" w:eastAsia="Times New Roman" w:hAnsi="Times New Roman" w:cs="Times New Roman"/>
          <w:color w:val="000000"/>
          <w:sz w:val="27"/>
          <w:szCs w:val="27"/>
          <w:lang w:eastAsia="it-IT"/>
        </w:rPr>
        <w:t>Racc</w:t>
      </w:r>
      <w:proofErr w:type="spellEnd"/>
      <w:r w:rsidRPr="00352BE0">
        <w:rPr>
          <w:rFonts w:ascii="Times New Roman" w:eastAsia="Times New Roman" w:hAnsi="Times New Roman" w:cs="Times New Roman"/>
          <w:color w:val="000000"/>
          <w:sz w:val="27"/>
          <w:szCs w:val="27"/>
          <w:lang w:eastAsia="it-IT"/>
        </w:rPr>
        <w:t>. pag. I</w:t>
      </w:r>
      <w:r w:rsidRPr="00352BE0">
        <w:rPr>
          <w:rFonts w:ascii="Times New Roman" w:eastAsia="Times New Roman" w:hAnsi="Times New Roman" w:cs="Times New Roman"/>
          <w:color w:val="000000"/>
          <w:sz w:val="27"/>
          <w:szCs w:val="27"/>
          <w:lang w:eastAsia="it-IT"/>
        </w:rPr>
        <w:noBreakHyphen/>
        <w:t>8585), la Corte ha stabilito delle condizioni assai restrittive per il riconoscimento dell’esistenza di un «controllo analogo» ed ha enucleato al riguardo un numero rilevante di indicatori concreti.</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6" w:name="point16"/>
      <w:r w:rsidRPr="00352BE0">
        <w:rPr>
          <w:rFonts w:ascii="Times New Roman" w:eastAsia="Times New Roman" w:hAnsi="Times New Roman" w:cs="Times New Roman"/>
          <w:color w:val="000000"/>
          <w:sz w:val="27"/>
          <w:szCs w:val="27"/>
          <w:lang w:eastAsia="it-IT"/>
        </w:rPr>
        <w:t>16</w:t>
      </w:r>
      <w:bookmarkEnd w:id="16"/>
      <w:r w:rsidRPr="00352BE0">
        <w:rPr>
          <w:rFonts w:ascii="Times New Roman" w:eastAsia="Times New Roman" w:hAnsi="Times New Roman" w:cs="Times New Roman"/>
          <w:color w:val="000000"/>
          <w:sz w:val="27"/>
          <w:szCs w:val="27"/>
          <w:lang w:eastAsia="it-IT"/>
        </w:rPr>
        <w:t xml:space="preserve">      Tuttavia, nelle successive sentenze del 19 aprile 2007, </w:t>
      </w:r>
      <w:proofErr w:type="spellStart"/>
      <w:r w:rsidRPr="00352BE0">
        <w:rPr>
          <w:rFonts w:ascii="Times New Roman" w:eastAsia="Times New Roman" w:hAnsi="Times New Roman" w:cs="Times New Roman"/>
          <w:color w:val="000000"/>
          <w:sz w:val="27"/>
          <w:szCs w:val="27"/>
          <w:lang w:eastAsia="it-IT"/>
        </w:rPr>
        <w:t>Asemfo</w:t>
      </w:r>
      <w:proofErr w:type="spellEnd"/>
      <w:r w:rsidRPr="00352BE0">
        <w:rPr>
          <w:rFonts w:ascii="Times New Roman" w:eastAsia="Times New Roman" w:hAnsi="Times New Roman" w:cs="Times New Roman"/>
          <w:color w:val="000000"/>
          <w:sz w:val="27"/>
          <w:szCs w:val="27"/>
          <w:lang w:eastAsia="it-IT"/>
        </w:rPr>
        <w:t xml:space="preserve"> (C</w:t>
      </w:r>
      <w:r w:rsidRPr="00352BE0">
        <w:rPr>
          <w:rFonts w:ascii="Times New Roman" w:eastAsia="Times New Roman" w:hAnsi="Times New Roman" w:cs="Times New Roman"/>
          <w:color w:val="000000"/>
          <w:sz w:val="27"/>
          <w:szCs w:val="27"/>
          <w:lang w:eastAsia="it-IT"/>
        </w:rPr>
        <w:noBreakHyphen/>
        <w:t xml:space="preserve">295/05, </w:t>
      </w:r>
      <w:proofErr w:type="spellStart"/>
      <w:r w:rsidRPr="00352BE0">
        <w:rPr>
          <w:rFonts w:ascii="Times New Roman" w:eastAsia="Times New Roman" w:hAnsi="Times New Roman" w:cs="Times New Roman"/>
          <w:color w:val="000000"/>
          <w:sz w:val="27"/>
          <w:szCs w:val="27"/>
          <w:lang w:eastAsia="it-IT"/>
        </w:rPr>
        <w:t>Racc</w:t>
      </w:r>
      <w:proofErr w:type="spellEnd"/>
      <w:r w:rsidRPr="00352BE0">
        <w:rPr>
          <w:rFonts w:ascii="Times New Roman" w:eastAsia="Times New Roman" w:hAnsi="Times New Roman" w:cs="Times New Roman"/>
          <w:color w:val="000000"/>
          <w:sz w:val="27"/>
          <w:szCs w:val="27"/>
          <w:lang w:eastAsia="it-IT"/>
        </w:rPr>
        <w:t>. pag. I</w:t>
      </w:r>
      <w:r w:rsidRPr="00352BE0">
        <w:rPr>
          <w:rFonts w:ascii="Times New Roman" w:eastAsia="Times New Roman" w:hAnsi="Times New Roman" w:cs="Times New Roman"/>
          <w:color w:val="000000"/>
          <w:sz w:val="27"/>
          <w:szCs w:val="27"/>
          <w:lang w:eastAsia="it-IT"/>
        </w:rPr>
        <w:noBreakHyphen/>
        <w:t>2999); del 17 luglio 2008, Commissione/Italia (C</w:t>
      </w:r>
      <w:r w:rsidRPr="00352BE0">
        <w:rPr>
          <w:rFonts w:ascii="Times New Roman" w:eastAsia="Times New Roman" w:hAnsi="Times New Roman" w:cs="Times New Roman"/>
          <w:color w:val="000000"/>
          <w:sz w:val="27"/>
          <w:szCs w:val="27"/>
          <w:lang w:eastAsia="it-IT"/>
        </w:rPr>
        <w:noBreakHyphen/>
        <w:t xml:space="preserve">371/05), e del 13 novembre 2008, </w:t>
      </w:r>
      <w:proofErr w:type="spellStart"/>
      <w:r w:rsidRPr="00352BE0">
        <w:rPr>
          <w:rFonts w:ascii="Times New Roman" w:eastAsia="Times New Roman" w:hAnsi="Times New Roman" w:cs="Times New Roman"/>
          <w:color w:val="000000"/>
          <w:sz w:val="27"/>
          <w:szCs w:val="27"/>
          <w:lang w:eastAsia="it-IT"/>
        </w:rPr>
        <w:t>Coditel</w:t>
      </w:r>
      <w:proofErr w:type="spellEnd"/>
      <w:r w:rsidRPr="00352BE0">
        <w:rPr>
          <w:rFonts w:ascii="Times New Roman" w:eastAsia="Times New Roman" w:hAnsi="Times New Roman" w:cs="Times New Roman"/>
          <w:color w:val="000000"/>
          <w:sz w:val="27"/>
          <w:szCs w:val="27"/>
          <w:lang w:eastAsia="it-IT"/>
        </w:rPr>
        <w:t> </w:t>
      </w:r>
      <w:proofErr w:type="spellStart"/>
      <w:r w:rsidRPr="00352BE0">
        <w:rPr>
          <w:rFonts w:ascii="Times New Roman" w:eastAsia="Times New Roman" w:hAnsi="Times New Roman" w:cs="Times New Roman"/>
          <w:color w:val="000000"/>
          <w:sz w:val="27"/>
          <w:szCs w:val="27"/>
          <w:lang w:eastAsia="it-IT"/>
        </w:rPr>
        <w:t>Brabant</w:t>
      </w:r>
      <w:proofErr w:type="spellEnd"/>
      <w:r w:rsidRPr="00352BE0">
        <w:rPr>
          <w:rFonts w:ascii="Times New Roman" w:eastAsia="Times New Roman" w:hAnsi="Times New Roman" w:cs="Times New Roman"/>
          <w:color w:val="000000"/>
          <w:sz w:val="27"/>
          <w:szCs w:val="27"/>
          <w:lang w:eastAsia="it-IT"/>
        </w:rPr>
        <w:t xml:space="preserve"> (C</w:t>
      </w:r>
      <w:r w:rsidRPr="00352BE0">
        <w:rPr>
          <w:rFonts w:ascii="Times New Roman" w:eastAsia="Times New Roman" w:hAnsi="Times New Roman" w:cs="Times New Roman"/>
          <w:color w:val="000000"/>
          <w:sz w:val="27"/>
          <w:szCs w:val="27"/>
          <w:lang w:eastAsia="it-IT"/>
        </w:rPr>
        <w:noBreakHyphen/>
        <w:t xml:space="preserve">324/07, </w:t>
      </w:r>
      <w:proofErr w:type="spellStart"/>
      <w:r w:rsidRPr="00352BE0">
        <w:rPr>
          <w:rFonts w:ascii="Times New Roman" w:eastAsia="Times New Roman" w:hAnsi="Times New Roman" w:cs="Times New Roman"/>
          <w:color w:val="000000"/>
          <w:sz w:val="27"/>
          <w:szCs w:val="27"/>
          <w:lang w:eastAsia="it-IT"/>
        </w:rPr>
        <w:t>Racc</w:t>
      </w:r>
      <w:proofErr w:type="spellEnd"/>
      <w:r w:rsidRPr="00352BE0">
        <w:rPr>
          <w:rFonts w:ascii="Times New Roman" w:eastAsia="Times New Roman" w:hAnsi="Times New Roman" w:cs="Times New Roman"/>
          <w:color w:val="000000"/>
          <w:sz w:val="27"/>
          <w:szCs w:val="27"/>
          <w:lang w:eastAsia="it-IT"/>
        </w:rPr>
        <w:t>. pag. I</w:t>
      </w:r>
      <w:r w:rsidRPr="00352BE0">
        <w:rPr>
          <w:rFonts w:ascii="Times New Roman" w:eastAsia="Times New Roman" w:hAnsi="Times New Roman" w:cs="Times New Roman"/>
          <w:color w:val="000000"/>
          <w:sz w:val="27"/>
          <w:szCs w:val="27"/>
          <w:lang w:eastAsia="it-IT"/>
        </w:rPr>
        <w:noBreakHyphen/>
        <w:t xml:space="preserve">8457), la Corte avrebbe mostrato maggiori aperture e mitigato le condizioni che devono essere soddisfatte per arrivare a ritenere sussistente l’esercizio di un «controllo analogo». Il Consiglio di Stato ricava più in particolare da quest’ultima sentenza la conclusione secondo cui è lecito ritenere sussistente una società «in </w:t>
      </w:r>
      <w:proofErr w:type="spellStart"/>
      <w:r w:rsidRPr="00352BE0">
        <w:rPr>
          <w:rFonts w:ascii="Times New Roman" w:eastAsia="Times New Roman" w:hAnsi="Times New Roman" w:cs="Times New Roman"/>
          <w:color w:val="000000"/>
          <w:sz w:val="27"/>
          <w:szCs w:val="27"/>
          <w:lang w:eastAsia="it-IT"/>
        </w:rPr>
        <w:t>house</w:t>
      </w:r>
      <w:proofErr w:type="spellEnd"/>
      <w:r w:rsidRPr="00352BE0">
        <w:rPr>
          <w:rFonts w:ascii="Times New Roman" w:eastAsia="Times New Roman" w:hAnsi="Times New Roman" w:cs="Times New Roman"/>
          <w:color w:val="000000"/>
          <w:sz w:val="27"/>
          <w:szCs w:val="27"/>
          <w:lang w:eastAsia="it-IT"/>
        </w:rPr>
        <w:t>» in caso di controllo congiunto esercitato su quest’ultima da più enti pubblici e secondo cui è irrilevante la situazione individuale di ciascuno di tali enti pubblici per quanto riguarda il controllo esercitato sulla società suddetta.</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7" w:name="point17"/>
      <w:r w:rsidRPr="00352BE0">
        <w:rPr>
          <w:rFonts w:ascii="Times New Roman" w:eastAsia="Times New Roman" w:hAnsi="Times New Roman" w:cs="Times New Roman"/>
          <w:color w:val="000000"/>
          <w:sz w:val="27"/>
          <w:szCs w:val="27"/>
          <w:lang w:eastAsia="it-IT"/>
        </w:rPr>
        <w:t>17</w:t>
      </w:r>
      <w:bookmarkEnd w:id="17"/>
      <w:r w:rsidRPr="00352BE0">
        <w:rPr>
          <w:rFonts w:ascii="Times New Roman" w:eastAsia="Times New Roman" w:hAnsi="Times New Roman" w:cs="Times New Roman"/>
          <w:color w:val="000000"/>
          <w:sz w:val="27"/>
          <w:szCs w:val="27"/>
          <w:lang w:eastAsia="it-IT"/>
        </w:rPr>
        <w:t xml:space="preserve">      Il giudice del rinvio fa osservare che, nel caso di specie, il Comune di Varese esercita il pieno controllo sulla ASPEM, mentre ciò non vale per il Comune di </w:t>
      </w:r>
      <w:r w:rsidRPr="00352BE0">
        <w:rPr>
          <w:rFonts w:ascii="Times New Roman" w:eastAsia="Times New Roman" w:hAnsi="Times New Roman" w:cs="Times New Roman"/>
          <w:color w:val="000000"/>
          <w:sz w:val="27"/>
          <w:szCs w:val="27"/>
          <w:lang w:eastAsia="it-IT"/>
        </w:rPr>
        <w:lastRenderedPageBreak/>
        <w:t xml:space="preserve">Cagno ed il Comune di Solbiate. Infatti, l’acquisizione di una sola azione ed un patto parasociale singolarmente debole non darebbero luogo ad alcun controllo congiunto effettivo sulla società in questione, poiché i due comuni ultimi citati non potrebbero influire sulle decisioni della ASPEM, e gli elementi di cui sopra non varrebbero a soddisfare il criterio del «controllo analogo». Tuttavia, alla luce della citata sentenza </w:t>
      </w:r>
      <w:proofErr w:type="spellStart"/>
      <w:r w:rsidRPr="00352BE0">
        <w:rPr>
          <w:rFonts w:ascii="Times New Roman" w:eastAsia="Times New Roman" w:hAnsi="Times New Roman" w:cs="Times New Roman"/>
          <w:color w:val="000000"/>
          <w:sz w:val="27"/>
          <w:szCs w:val="27"/>
          <w:lang w:eastAsia="it-IT"/>
        </w:rPr>
        <w:t>Coditel</w:t>
      </w:r>
      <w:proofErr w:type="spellEnd"/>
      <w:r w:rsidRPr="00352BE0">
        <w:rPr>
          <w:rFonts w:ascii="Times New Roman" w:eastAsia="Times New Roman" w:hAnsi="Times New Roman" w:cs="Times New Roman"/>
          <w:color w:val="000000"/>
          <w:sz w:val="27"/>
          <w:szCs w:val="27"/>
          <w:lang w:eastAsia="it-IT"/>
        </w:rPr>
        <w:t xml:space="preserve"> </w:t>
      </w:r>
      <w:proofErr w:type="spellStart"/>
      <w:r w:rsidRPr="00352BE0">
        <w:rPr>
          <w:rFonts w:ascii="Times New Roman" w:eastAsia="Times New Roman" w:hAnsi="Times New Roman" w:cs="Times New Roman"/>
          <w:color w:val="000000"/>
          <w:sz w:val="27"/>
          <w:szCs w:val="27"/>
          <w:lang w:eastAsia="it-IT"/>
        </w:rPr>
        <w:t>Brabant</w:t>
      </w:r>
      <w:proofErr w:type="spellEnd"/>
      <w:r w:rsidRPr="00352BE0">
        <w:rPr>
          <w:rFonts w:ascii="Times New Roman" w:eastAsia="Times New Roman" w:hAnsi="Times New Roman" w:cs="Times New Roman"/>
          <w:color w:val="000000"/>
          <w:sz w:val="27"/>
          <w:szCs w:val="27"/>
          <w:lang w:eastAsia="it-IT"/>
        </w:rPr>
        <w:t>, la situazione di ciascuno degli enti pubblici partecipanti singolarmente considerati, per quanto riguarda l’esercizio del controllo, sarebbe irrilevante.</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8" w:name="point18"/>
      <w:r w:rsidRPr="00352BE0">
        <w:rPr>
          <w:rFonts w:ascii="Times New Roman" w:eastAsia="Times New Roman" w:hAnsi="Times New Roman" w:cs="Times New Roman"/>
          <w:color w:val="000000"/>
          <w:sz w:val="27"/>
          <w:szCs w:val="27"/>
          <w:lang w:eastAsia="it-IT"/>
        </w:rPr>
        <w:t>18</w:t>
      </w:r>
      <w:bookmarkEnd w:id="18"/>
      <w:r w:rsidRPr="00352BE0">
        <w:rPr>
          <w:rFonts w:ascii="Times New Roman" w:eastAsia="Times New Roman" w:hAnsi="Times New Roman" w:cs="Times New Roman"/>
          <w:color w:val="000000"/>
          <w:sz w:val="27"/>
          <w:szCs w:val="27"/>
          <w:lang w:eastAsia="it-IT"/>
        </w:rPr>
        <w:t>      Alla luce di tali considerazioni, il Consiglio di Stato ha deciso di sospendere il procedimento e di sottoporre alla Corte la seguente questione pregiudiziale:</w:t>
      </w:r>
    </w:p>
    <w:p w:rsidR="00352BE0" w:rsidRPr="00352BE0" w:rsidRDefault="00352BE0" w:rsidP="00352BE0">
      <w:pPr>
        <w:spacing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«Se il principio di irrilevanza della situazione del singolo ente pubblico partecipante alla società strumentale debba applicarsi anche nel caso in cui, come nella fattispecie, uno dei Comuni associati possegga una sola azione della società strumentale ed i patti parasociali intercorsi fra enti pubblici non siano idonei a dare alcun controllo effettivo della società al Comune partecipante, sicché la partecipazione societaria possa considerarsi solo la veste formale di un contratto di prestazione di servizi».</w:t>
      </w:r>
    </w:p>
    <w:p w:rsidR="00352BE0" w:rsidRPr="00352BE0" w:rsidRDefault="00352BE0" w:rsidP="00352BE0">
      <w:pPr>
        <w:spacing w:before="480" w:after="240" w:line="240" w:lineRule="auto"/>
        <w:ind w:left="567"/>
        <w:jc w:val="both"/>
        <w:rPr>
          <w:rFonts w:ascii="Times New Roman" w:eastAsia="Times New Roman" w:hAnsi="Times New Roman" w:cs="Times New Roman"/>
          <w:b/>
          <w:bCs/>
          <w:color w:val="000000"/>
          <w:sz w:val="27"/>
          <w:szCs w:val="27"/>
          <w:lang w:eastAsia="it-IT"/>
        </w:rPr>
      </w:pPr>
      <w:r w:rsidRPr="00352BE0">
        <w:rPr>
          <w:rFonts w:ascii="Times New Roman" w:eastAsia="Times New Roman" w:hAnsi="Times New Roman" w:cs="Times New Roman"/>
          <w:b/>
          <w:bCs/>
          <w:color w:val="000000"/>
          <w:sz w:val="27"/>
          <w:szCs w:val="27"/>
          <w:lang w:eastAsia="it-IT"/>
        </w:rPr>
        <w:t> Sulla questione pregiudiziale</w:t>
      </w:r>
    </w:p>
    <w:p w:rsidR="00352BE0" w:rsidRPr="00352BE0" w:rsidRDefault="00352BE0" w:rsidP="00352BE0">
      <w:pPr>
        <w:spacing w:after="240" w:line="240" w:lineRule="auto"/>
        <w:ind w:left="567"/>
        <w:jc w:val="both"/>
        <w:rPr>
          <w:rFonts w:ascii="Times New Roman" w:eastAsia="Times New Roman" w:hAnsi="Times New Roman" w:cs="Times New Roman"/>
          <w:i/>
          <w:iCs/>
          <w:color w:val="000000"/>
          <w:sz w:val="27"/>
          <w:szCs w:val="27"/>
          <w:lang w:eastAsia="it-IT"/>
        </w:rPr>
      </w:pPr>
      <w:r w:rsidRPr="00352BE0">
        <w:rPr>
          <w:rFonts w:ascii="Times New Roman" w:eastAsia="Times New Roman" w:hAnsi="Times New Roman" w:cs="Times New Roman"/>
          <w:i/>
          <w:iCs/>
          <w:color w:val="000000"/>
          <w:sz w:val="27"/>
          <w:szCs w:val="27"/>
          <w:lang w:eastAsia="it-IT"/>
        </w:rPr>
        <w:t> Osservazioni preliminari</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9" w:name="point19"/>
      <w:r w:rsidRPr="00352BE0">
        <w:rPr>
          <w:rFonts w:ascii="Times New Roman" w:eastAsia="Times New Roman" w:hAnsi="Times New Roman" w:cs="Times New Roman"/>
          <w:color w:val="000000"/>
          <w:sz w:val="27"/>
          <w:szCs w:val="27"/>
          <w:lang w:eastAsia="it-IT"/>
        </w:rPr>
        <w:t>19</w:t>
      </w:r>
      <w:bookmarkEnd w:id="19"/>
      <w:r w:rsidRPr="00352BE0">
        <w:rPr>
          <w:rFonts w:ascii="Times New Roman" w:eastAsia="Times New Roman" w:hAnsi="Times New Roman" w:cs="Times New Roman"/>
          <w:color w:val="000000"/>
          <w:sz w:val="27"/>
          <w:szCs w:val="27"/>
          <w:lang w:eastAsia="it-IT"/>
        </w:rPr>
        <w:t>      Il Comune di Cagno e il Comune di Solbiate fanno valere che, successivamente ai fatti all’origine delle presenti domande di pronuncia pregiudiziale, essi hanno avviato procedure di gara aperte, all’esito delle quali l’appalto in questione è stato aggiudicato a titolo definitivo alla ASPEM. Tale sviluppo successivo influirebbe sull’utilità di una risposta della Corte alla questione sollevata dal giudice del rinvio.</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0" w:name="point20"/>
      <w:r w:rsidRPr="00352BE0">
        <w:rPr>
          <w:rFonts w:ascii="Times New Roman" w:eastAsia="Times New Roman" w:hAnsi="Times New Roman" w:cs="Times New Roman"/>
          <w:color w:val="000000"/>
          <w:sz w:val="27"/>
          <w:szCs w:val="27"/>
          <w:lang w:eastAsia="it-IT"/>
        </w:rPr>
        <w:t>20</w:t>
      </w:r>
      <w:bookmarkEnd w:id="20"/>
      <w:r w:rsidRPr="00352BE0">
        <w:rPr>
          <w:rFonts w:ascii="Times New Roman" w:eastAsia="Times New Roman" w:hAnsi="Times New Roman" w:cs="Times New Roman"/>
          <w:color w:val="000000"/>
          <w:sz w:val="27"/>
          <w:szCs w:val="27"/>
          <w:lang w:eastAsia="it-IT"/>
        </w:rPr>
        <w:t>      Il governo italiano sostiene che la questione pregiudiziale è irricevibile per mancanza di una descrizione sufficiente del contesto di fatto e di diritto dei procedimenti principali.</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1" w:name="point21"/>
      <w:r w:rsidRPr="00352BE0">
        <w:rPr>
          <w:rFonts w:ascii="Times New Roman" w:eastAsia="Times New Roman" w:hAnsi="Times New Roman" w:cs="Times New Roman"/>
          <w:color w:val="000000"/>
          <w:sz w:val="27"/>
          <w:szCs w:val="27"/>
          <w:lang w:eastAsia="it-IT"/>
        </w:rPr>
        <w:t>21</w:t>
      </w:r>
      <w:bookmarkEnd w:id="21"/>
      <w:r w:rsidRPr="00352BE0">
        <w:rPr>
          <w:rFonts w:ascii="Times New Roman" w:eastAsia="Times New Roman" w:hAnsi="Times New Roman" w:cs="Times New Roman"/>
          <w:color w:val="000000"/>
          <w:sz w:val="27"/>
          <w:szCs w:val="27"/>
          <w:lang w:eastAsia="it-IT"/>
        </w:rPr>
        <w:t>      A questo proposito occorre ricordare che, secondo una costante giurisprudenza, nell’ambito di un procedimento ex articolo 267 TFUE, basato sulla netta separazione di funzioni tra i giudici nazionali e la Corte, l’accertamento e la valutazione dei fatti costituenti l’oggetto della controversia principale, nonché l’interpretazione e l’applicazione del diritto nazionale, rientrano nella competenza esclusiva del giudice nazionale. Parimenti, spetta esclusivamente al giudice nazionale, cui è stata sottoposta la controversia e che deve assumersi la responsabilità dell’</w:t>
      </w:r>
      <w:proofErr w:type="spellStart"/>
      <w:r w:rsidRPr="00352BE0">
        <w:rPr>
          <w:rFonts w:ascii="Times New Roman" w:eastAsia="Times New Roman" w:hAnsi="Times New Roman" w:cs="Times New Roman"/>
          <w:color w:val="000000"/>
          <w:sz w:val="27"/>
          <w:szCs w:val="27"/>
          <w:lang w:eastAsia="it-IT"/>
        </w:rPr>
        <w:t>emananda</w:t>
      </w:r>
      <w:proofErr w:type="spellEnd"/>
      <w:r w:rsidRPr="00352BE0">
        <w:rPr>
          <w:rFonts w:ascii="Times New Roman" w:eastAsia="Times New Roman" w:hAnsi="Times New Roman" w:cs="Times New Roman"/>
          <w:color w:val="000000"/>
          <w:sz w:val="27"/>
          <w:szCs w:val="27"/>
          <w:lang w:eastAsia="it-IT"/>
        </w:rPr>
        <w:t xml:space="preserve"> decisione giurisdizionale, valutare, alla luce delle particolari circostanze del caso, sia la necessità sia la rilevanza delle questioni che esso sottopone alla Corte. Di conseguenza, se le questioni sollevate vertono sull’interpretazione del diritto dell’Unione, la Corte, in via di principio, è tenuta a </w:t>
      </w:r>
      <w:r w:rsidRPr="00352BE0">
        <w:rPr>
          <w:rFonts w:ascii="Times New Roman" w:eastAsia="Times New Roman" w:hAnsi="Times New Roman" w:cs="Times New Roman"/>
          <w:color w:val="000000"/>
          <w:sz w:val="27"/>
          <w:szCs w:val="27"/>
          <w:lang w:eastAsia="it-IT"/>
        </w:rPr>
        <w:lastRenderedPageBreak/>
        <w:t xml:space="preserve">statuire (sentenza del 25 ottobre 2012, </w:t>
      </w:r>
      <w:proofErr w:type="spellStart"/>
      <w:r w:rsidRPr="00352BE0">
        <w:rPr>
          <w:rFonts w:ascii="Times New Roman" w:eastAsia="Times New Roman" w:hAnsi="Times New Roman" w:cs="Times New Roman"/>
          <w:color w:val="000000"/>
          <w:sz w:val="27"/>
          <w:szCs w:val="27"/>
          <w:lang w:eastAsia="it-IT"/>
        </w:rPr>
        <w:t>Rintisch</w:t>
      </w:r>
      <w:proofErr w:type="spellEnd"/>
      <w:r w:rsidRPr="00352BE0">
        <w:rPr>
          <w:rFonts w:ascii="Times New Roman" w:eastAsia="Times New Roman" w:hAnsi="Times New Roman" w:cs="Times New Roman"/>
          <w:color w:val="000000"/>
          <w:sz w:val="27"/>
          <w:szCs w:val="27"/>
          <w:lang w:eastAsia="it-IT"/>
        </w:rPr>
        <w:t>, C</w:t>
      </w:r>
      <w:r w:rsidRPr="00352BE0">
        <w:rPr>
          <w:rFonts w:ascii="Times New Roman" w:eastAsia="Times New Roman" w:hAnsi="Times New Roman" w:cs="Times New Roman"/>
          <w:color w:val="000000"/>
          <w:sz w:val="27"/>
          <w:szCs w:val="27"/>
          <w:lang w:eastAsia="it-IT"/>
        </w:rPr>
        <w:noBreakHyphen/>
        <w:t>553/11, punto 15 e la giurisprudenza ivi citata).</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2" w:name="point22"/>
      <w:r w:rsidRPr="00352BE0">
        <w:rPr>
          <w:rFonts w:ascii="Times New Roman" w:eastAsia="Times New Roman" w:hAnsi="Times New Roman" w:cs="Times New Roman"/>
          <w:color w:val="000000"/>
          <w:sz w:val="27"/>
          <w:szCs w:val="27"/>
          <w:lang w:eastAsia="it-IT"/>
        </w:rPr>
        <w:t>22</w:t>
      </w:r>
      <w:bookmarkEnd w:id="22"/>
      <w:r w:rsidRPr="00352BE0">
        <w:rPr>
          <w:rFonts w:ascii="Times New Roman" w:eastAsia="Times New Roman" w:hAnsi="Times New Roman" w:cs="Times New Roman"/>
          <w:color w:val="000000"/>
          <w:sz w:val="27"/>
          <w:szCs w:val="27"/>
          <w:lang w:eastAsia="it-IT"/>
        </w:rPr>
        <w:t xml:space="preserve">      Pertanto, il rigetto, da parte della Corte, di una domanda di pronuncia pregiudiziale proposta da un giudice nazionale è possibile soltanto qualora appaia in modo manifesto che l’interpretazione del diritto dell’Unione richiesta non ha alcun rapporto con la realtà effettiva o con l’oggetto del procedimento principale, qualora il problema sia di natura ipotetica, o anche quando la Corte non disponga degli elementi di fatto e di diritto necessari per rispondere in modo utile alle questioni che le sono sottoposte (sentenza </w:t>
      </w:r>
      <w:proofErr w:type="spellStart"/>
      <w:r w:rsidRPr="00352BE0">
        <w:rPr>
          <w:rFonts w:ascii="Times New Roman" w:eastAsia="Times New Roman" w:hAnsi="Times New Roman" w:cs="Times New Roman"/>
          <w:color w:val="000000"/>
          <w:sz w:val="27"/>
          <w:szCs w:val="27"/>
          <w:lang w:eastAsia="it-IT"/>
        </w:rPr>
        <w:t>Rintisch</w:t>
      </w:r>
      <w:proofErr w:type="spellEnd"/>
      <w:r w:rsidRPr="00352BE0">
        <w:rPr>
          <w:rFonts w:ascii="Times New Roman" w:eastAsia="Times New Roman" w:hAnsi="Times New Roman" w:cs="Times New Roman"/>
          <w:color w:val="000000"/>
          <w:sz w:val="27"/>
          <w:szCs w:val="27"/>
          <w:lang w:eastAsia="it-IT"/>
        </w:rPr>
        <w:t>, cit., punto 16 e la giurisprudenza ivi citata).</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3" w:name="point23"/>
      <w:r w:rsidRPr="00352BE0">
        <w:rPr>
          <w:rFonts w:ascii="Times New Roman" w:eastAsia="Times New Roman" w:hAnsi="Times New Roman" w:cs="Times New Roman"/>
          <w:color w:val="000000"/>
          <w:sz w:val="27"/>
          <w:szCs w:val="27"/>
          <w:lang w:eastAsia="it-IT"/>
        </w:rPr>
        <w:t>23</w:t>
      </w:r>
      <w:bookmarkEnd w:id="23"/>
      <w:r w:rsidRPr="00352BE0">
        <w:rPr>
          <w:rFonts w:ascii="Times New Roman" w:eastAsia="Times New Roman" w:hAnsi="Times New Roman" w:cs="Times New Roman"/>
          <w:color w:val="000000"/>
          <w:sz w:val="27"/>
          <w:szCs w:val="27"/>
          <w:lang w:eastAsia="it-IT"/>
        </w:rPr>
        <w:t>      Orbene, tali ipotesi non si realizzano nel caso di specie. Infatti, il giudice del rinvio invita la Corte a chiarire la propria giurisprudenza in merito al controllo esercitato congiuntamente da più amministrazioni aggiudicatrici su un’entità affidataria posseduta in comune da queste ultime, nonché in ordine ai presupposti in presenza dei quali deve ritenersi che, in un caso siffatto, venga esercitato un «controllo analogo», questione che è innegabilmente in rapporto con l’oggetto dei procedimenti principali. Inoltre, la Corte reputa che i dati normativi e fattuali contenuti nella presente domanda siano sufficienti affinché essa sia in grado di rispondere utilmente al quesito sollevato.</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4" w:name="point24"/>
      <w:r w:rsidRPr="00352BE0">
        <w:rPr>
          <w:rFonts w:ascii="Times New Roman" w:eastAsia="Times New Roman" w:hAnsi="Times New Roman" w:cs="Times New Roman"/>
          <w:color w:val="000000"/>
          <w:sz w:val="27"/>
          <w:szCs w:val="27"/>
          <w:lang w:eastAsia="it-IT"/>
        </w:rPr>
        <w:t>24</w:t>
      </w:r>
      <w:bookmarkEnd w:id="24"/>
      <w:r w:rsidRPr="00352BE0">
        <w:rPr>
          <w:rFonts w:ascii="Times New Roman" w:eastAsia="Times New Roman" w:hAnsi="Times New Roman" w:cs="Times New Roman"/>
          <w:color w:val="000000"/>
          <w:sz w:val="27"/>
          <w:szCs w:val="27"/>
          <w:lang w:eastAsia="it-IT"/>
        </w:rPr>
        <w:t>      Ne consegue che le domande di pronuncia pregiudiziale sono ricevibili.</w:t>
      </w:r>
    </w:p>
    <w:p w:rsidR="00352BE0" w:rsidRPr="00352BE0" w:rsidRDefault="00352BE0" w:rsidP="00352BE0">
      <w:pPr>
        <w:spacing w:after="240" w:line="240" w:lineRule="auto"/>
        <w:ind w:left="567"/>
        <w:jc w:val="both"/>
        <w:rPr>
          <w:rFonts w:ascii="Times New Roman" w:eastAsia="Times New Roman" w:hAnsi="Times New Roman" w:cs="Times New Roman"/>
          <w:i/>
          <w:iCs/>
          <w:color w:val="000000"/>
          <w:sz w:val="27"/>
          <w:szCs w:val="27"/>
          <w:lang w:eastAsia="it-IT"/>
        </w:rPr>
      </w:pPr>
      <w:r w:rsidRPr="00352BE0">
        <w:rPr>
          <w:rFonts w:ascii="Times New Roman" w:eastAsia="Times New Roman" w:hAnsi="Times New Roman" w:cs="Times New Roman"/>
          <w:i/>
          <w:iCs/>
          <w:color w:val="000000"/>
          <w:sz w:val="27"/>
          <w:szCs w:val="27"/>
          <w:lang w:eastAsia="it-IT"/>
        </w:rPr>
        <w:t> Nel merito</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5" w:name="point25"/>
      <w:r w:rsidRPr="00352BE0">
        <w:rPr>
          <w:rFonts w:ascii="Times New Roman" w:eastAsia="Times New Roman" w:hAnsi="Times New Roman" w:cs="Times New Roman"/>
          <w:color w:val="000000"/>
          <w:sz w:val="27"/>
          <w:szCs w:val="27"/>
          <w:lang w:eastAsia="it-IT"/>
        </w:rPr>
        <w:t>25</w:t>
      </w:r>
      <w:bookmarkEnd w:id="25"/>
      <w:r w:rsidRPr="00352BE0">
        <w:rPr>
          <w:rFonts w:ascii="Times New Roman" w:eastAsia="Times New Roman" w:hAnsi="Times New Roman" w:cs="Times New Roman"/>
          <w:color w:val="000000"/>
          <w:sz w:val="27"/>
          <w:szCs w:val="27"/>
          <w:lang w:eastAsia="it-IT"/>
        </w:rPr>
        <w:t xml:space="preserve">      Secondo una giurisprudenza consolidata, un’amministrazione aggiudicatrice, come ad esempio un ente locale, è dispensata dall’avviare una procedura di aggiudicazione di un appalto pubblico nel caso in cui essa eserciti sull’entità affidataria un controllo analogo a quello da essa esercitato sui propri servizi e tale entità realizzi la parte più importante della propria attività con l’amministrazione o le amministrazioni aggiudicatrici che la controllano (sentenza </w:t>
      </w:r>
      <w:proofErr w:type="spellStart"/>
      <w:r w:rsidRPr="00352BE0">
        <w:rPr>
          <w:rFonts w:ascii="Times New Roman" w:eastAsia="Times New Roman" w:hAnsi="Times New Roman" w:cs="Times New Roman"/>
          <w:color w:val="000000"/>
          <w:sz w:val="27"/>
          <w:szCs w:val="27"/>
          <w:lang w:eastAsia="it-IT"/>
        </w:rPr>
        <w:t>Teckal</w:t>
      </w:r>
      <w:proofErr w:type="spellEnd"/>
      <w:r w:rsidRPr="00352BE0">
        <w:rPr>
          <w:rFonts w:ascii="Times New Roman" w:eastAsia="Times New Roman" w:hAnsi="Times New Roman" w:cs="Times New Roman"/>
          <w:color w:val="000000"/>
          <w:sz w:val="27"/>
          <w:szCs w:val="27"/>
          <w:lang w:eastAsia="it-IT"/>
        </w:rPr>
        <w:t>, cit., punto 50). È pacifico che questa giurisprudenza, inizialmente adottata ai fini dell’interpretazione e dell’applicazione della direttiva 93/36/CEE del Consiglio, del 14 giugno 1993, che coordina le procedure di aggiudicazione degli appalti pubblici di forniture (GU L 199, pag. 1), è altresì applicabile alle procedure di attribuzione degli appalti pubblici di lavori e di servizi.</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6" w:name="point26"/>
      <w:r w:rsidRPr="00352BE0">
        <w:rPr>
          <w:rFonts w:ascii="Times New Roman" w:eastAsia="Times New Roman" w:hAnsi="Times New Roman" w:cs="Times New Roman"/>
          <w:color w:val="000000"/>
          <w:sz w:val="27"/>
          <w:szCs w:val="27"/>
          <w:lang w:eastAsia="it-IT"/>
        </w:rPr>
        <w:t>26</w:t>
      </w:r>
      <w:bookmarkEnd w:id="26"/>
      <w:r w:rsidRPr="00352BE0">
        <w:rPr>
          <w:rFonts w:ascii="Times New Roman" w:eastAsia="Times New Roman" w:hAnsi="Times New Roman" w:cs="Times New Roman"/>
          <w:color w:val="000000"/>
          <w:sz w:val="27"/>
          <w:szCs w:val="27"/>
          <w:lang w:eastAsia="it-IT"/>
        </w:rPr>
        <w:t>      Occorre altresì rilevare che, ai sensi della giurisprudenza della Corte, la questione se si tratti di una concessione di servizi o di un appalto pubblico di servizi – e, in quest’ultimo caso, se il valore dell’appalto raggiunga la soglia prevista dalle norme dell’Unione – è priva di rilevanza ai fini della risposta che la Corte deve dare alla questione pregiudiziale, dal momento che l’eccezione all’applicazione delle norme del diritto dell’Unione, ove siano soddisfatte le condizioni attinenti all’esercizio di un «controllo analogo», è applicabile in tutte le situazioni suddette (v., in tal senso, sentenza del 10 settembre 2009, Sea, C</w:t>
      </w:r>
      <w:r w:rsidRPr="00352BE0">
        <w:rPr>
          <w:rFonts w:ascii="Times New Roman" w:eastAsia="Times New Roman" w:hAnsi="Times New Roman" w:cs="Times New Roman"/>
          <w:color w:val="000000"/>
          <w:sz w:val="27"/>
          <w:szCs w:val="27"/>
          <w:lang w:eastAsia="it-IT"/>
        </w:rPr>
        <w:noBreakHyphen/>
        <w:t xml:space="preserve">573/07, </w:t>
      </w:r>
      <w:proofErr w:type="spellStart"/>
      <w:r w:rsidRPr="00352BE0">
        <w:rPr>
          <w:rFonts w:ascii="Times New Roman" w:eastAsia="Times New Roman" w:hAnsi="Times New Roman" w:cs="Times New Roman"/>
          <w:color w:val="000000"/>
          <w:sz w:val="27"/>
          <w:szCs w:val="27"/>
          <w:lang w:eastAsia="it-IT"/>
        </w:rPr>
        <w:t>Racc</w:t>
      </w:r>
      <w:proofErr w:type="spellEnd"/>
      <w:r w:rsidRPr="00352BE0">
        <w:rPr>
          <w:rFonts w:ascii="Times New Roman" w:eastAsia="Times New Roman" w:hAnsi="Times New Roman" w:cs="Times New Roman"/>
          <w:color w:val="000000"/>
          <w:sz w:val="27"/>
          <w:szCs w:val="27"/>
          <w:lang w:eastAsia="it-IT"/>
        </w:rPr>
        <w:t>. pag. I</w:t>
      </w:r>
      <w:r w:rsidRPr="00352BE0">
        <w:rPr>
          <w:rFonts w:ascii="Times New Roman" w:eastAsia="Times New Roman" w:hAnsi="Times New Roman" w:cs="Times New Roman"/>
          <w:color w:val="000000"/>
          <w:sz w:val="27"/>
          <w:szCs w:val="27"/>
          <w:lang w:eastAsia="it-IT"/>
        </w:rPr>
        <w:noBreakHyphen/>
        <w:t>8127, punti 31</w:t>
      </w:r>
      <w:r w:rsidRPr="00352BE0">
        <w:rPr>
          <w:rFonts w:ascii="Times New Roman" w:eastAsia="Times New Roman" w:hAnsi="Times New Roman" w:cs="Times New Roman"/>
          <w:color w:val="000000"/>
          <w:sz w:val="27"/>
          <w:szCs w:val="27"/>
          <w:lang w:eastAsia="it-IT"/>
        </w:rPr>
        <w:noBreakHyphen/>
        <w:t>40).</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7" w:name="point27"/>
      <w:r w:rsidRPr="00352BE0">
        <w:rPr>
          <w:rFonts w:ascii="Times New Roman" w:eastAsia="Times New Roman" w:hAnsi="Times New Roman" w:cs="Times New Roman"/>
          <w:color w:val="000000"/>
          <w:sz w:val="27"/>
          <w:szCs w:val="27"/>
          <w:lang w:eastAsia="it-IT"/>
        </w:rPr>
        <w:lastRenderedPageBreak/>
        <w:t>27</w:t>
      </w:r>
      <w:bookmarkEnd w:id="27"/>
      <w:r w:rsidRPr="00352BE0">
        <w:rPr>
          <w:rFonts w:ascii="Times New Roman" w:eastAsia="Times New Roman" w:hAnsi="Times New Roman" w:cs="Times New Roman"/>
          <w:color w:val="000000"/>
          <w:sz w:val="27"/>
          <w:szCs w:val="27"/>
          <w:lang w:eastAsia="it-IT"/>
        </w:rPr>
        <w:t xml:space="preserve">      Secondo una costante giurisprudenza, sussiste un «controllo analogo» quando l’entità di cui trattasi è assoggettata a un controllo che consente all’amministrazione aggiudicatrice di influenzare le decisioni dell’entità medesima. Deve trattarsi di una possibilità di influenza determinante sia sugli obiettivi strategici che sulle decisioni importanti di tale entità (citate sentenze Parking Brixen, punto 65; </w:t>
      </w:r>
      <w:proofErr w:type="spellStart"/>
      <w:r w:rsidRPr="00352BE0">
        <w:rPr>
          <w:rFonts w:ascii="Times New Roman" w:eastAsia="Times New Roman" w:hAnsi="Times New Roman" w:cs="Times New Roman"/>
          <w:color w:val="000000"/>
          <w:sz w:val="27"/>
          <w:szCs w:val="27"/>
          <w:lang w:eastAsia="it-IT"/>
        </w:rPr>
        <w:t>Coditel</w:t>
      </w:r>
      <w:proofErr w:type="spellEnd"/>
      <w:r w:rsidRPr="00352BE0">
        <w:rPr>
          <w:rFonts w:ascii="Times New Roman" w:eastAsia="Times New Roman" w:hAnsi="Times New Roman" w:cs="Times New Roman"/>
          <w:color w:val="000000"/>
          <w:sz w:val="27"/>
          <w:szCs w:val="27"/>
          <w:lang w:eastAsia="it-IT"/>
        </w:rPr>
        <w:t xml:space="preserve"> </w:t>
      </w:r>
      <w:proofErr w:type="spellStart"/>
      <w:r w:rsidRPr="00352BE0">
        <w:rPr>
          <w:rFonts w:ascii="Times New Roman" w:eastAsia="Times New Roman" w:hAnsi="Times New Roman" w:cs="Times New Roman"/>
          <w:color w:val="000000"/>
          <w:sz w:val="27"/>
          <w:szCs w:val="27"/>
          <w:lang w:eastAsia="it-IT"/>
        </w:rPr>
        <w:t>Brabant</w:t>
      </w:r>
      <w:proofErr w:type="spellEnd"/>
      <w:r w:rsidRPr="00352BE0">
        <w:rPr>
          <w:rFonts w:ascii="Times New Roman" w:eastAsia="Times New Roman" w:hAnsi="Times New Roman" w:cs="Times New Roman"/>
          <w:color w:val="000000"/>
          <w:sz w:val="27"/>
          <w:szCs w:val="27"/>
          <w:lang w:eastAsia="it-IT"/>
        </w:rPr>
        <w:t xml:space="preserve">, punto 28, e Sea, punto 65). In altri termini, l’amministrazione aggiudicatrice deve essere in grado di esercitare su tale entità un controllo strutturale e funzionale (sentenza Commissione/Italia, cit., punto 26). La Corte esige altresì che tale controllo sia effettivo (sentenza </w:t>
      </w:r>
      <w:proofErr w:type="spellStart"/>
      <w:r w:rsidRPr="00352BE0">
        <w:rPr>
          <w:rFonts w:ascii="Times New Roman" w:eastAsia="Times New Roman" w:hAnsi="Times New Roman" w:cs="Times New Roman"/>
          <w:color w:val="000000"/>
          <w:sz w:val="27"/>
          <w:szCs w:val="27"/>
          <w:lang w:eastAsia="it-IT"/>
        </w:rPr>
        <w:t>Coditel</w:t>
      </w:r>
      <w:proofErr w:type="spellEnd"/>
      <w:r w:rsidRPr="00352BE0">
        <w:rPr>
          <w:rFonts w:ascii="Times New Roman" w:eastAsia="Times New Roman" w:hAnsi="Times New Roman" w:cs="Times New Roman"/>
          <w:color w:val="000000"/>
          <w:sz w:val="27"/>
          <w:szCs w:val="27"/>
          <w:lang w:eastAsia="it-IT"/>
        </w:rPr>
        <w:t xml:space="preserve"> </w:t>
      </w:r>
      <w:proofErr w:type="spellStart"/>
      <w:r w:rsidRPr="00352BE0">
        <w:rPr>
          <w:rFonts w:ascii="Times New Roman" w:eastAsia="Times New Roman" w:hAnsi="Times New Roman" w:cs="Times New Roman"/>
          <w:color w:val="000000"/>
          <w:sz w:val="27"/>
          <w:szCs w:val="27"/>
          <w:lang w:eastAsia="it-IT"/>
        </w:rPr>
        <w:t>Brabant</w:t>
      </w:r>
      <w:proofErr w:type="spellEnd"/>
      <w:r w:rsidRPr="00352BE0">
        <w:rPr>
          <w:rFonts w:ascii="Times New Roman" w:eastAsia="Times New Roman" w:hAnsi="Times New Roman" w:cs="Times New Roman"/>
          <w:color w:val="000000"/>
          <w:sz w:val="27"/>
          <w:szCs w:val="27"/>
          <w:lang w:eastAsia="it-IT"/>
        </w:rPr>
        <w:t>, cit., punto 46).</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8" w:name="point28"/>
      <w:r w:rsidRPr="00352BE0">
        <w:rPr>
          <w:rFonts w:ascii="Times New Roman" w:eastAsia="Times New Roman" w:hAnsi="Times New Roman" w:cs="Times New Roman"/>
          <w:color w:val="000000"/>
          <w:sz w:val="27"/>
          <w:szCs w:val="27"/>
          <w:lang w:eastAsia="it-IT"/>
        </w:rPr>
        <w:t>28</w:t>
      </w:r>
      <w:bookmarkEnd w:id="28"/>
      <w:r w:rsidRPr="00352BE0">
        <w:rPr>
          <w:rFonts w:ascii="Times New Roman" w:eastAsia="Times New Roman" w:hAnsi="Times New Roman" w:cs="Times New Roman"/>
          <w:color w:val="000000"/>
          <w:sz w:val="27"/>
          <w:szCs w:val="27"/>
          <w:lang w:eastAsia="it-IT"/>
        </w:rPr>
        <w:t xml:space="preserve">      Ai sensi della giurisprudenza, nel caso in cui venga fatto ricorso ad un’entità posseduta in comune da più autorità pubbliche, il «controllo analogo» può essere esercitato congiuntamente da tali autorità, senza che sia indispensabile che detto controllo venga esercitato individualmente da ciascuna di esse (v., in tal senso, citate sentenze </w:t>
      </w:r>
      <w:proofErr w:type="spellStart"/>
      <w:r w:rsidRPr="00352BE0">
        <w:rPr>
          <w:rFonts w:ascii="Times New Roman" w:eastAsia="Times New Roman" w:hAnsi="Times New Roman" w:cs="Times New Roman"/>
          <w:color w:val="000000"/>
          <w:sz w:val="27"/>
          <w:szCs w:val="27"/>
          <w:lang w:eastAsia="it-IT"/>
        </w:rPr>
        <w:t>Coditel</w:t>
      </w:r>
      <w:proofErr w:type="spellEnd"/>
      <w:r w:rsidRPr="00352BE0">
        <w:rPr>
          <w:rFonts w:ascii="Times New Roman" w:eastAsia="Times New Roman" w:hAnsi="Times New Roman" w:cs="Times New Roman"/>
          <w:color w:val="000000"/>
          <w:sz w:val="27"/>
          <w:szCs w:val="27"/>
          <w:lang w:eastAsia="it-IT"/>
        </w:rPr>
        <w:t xml:space="preserve"> </w:t>
      </w:r>
      <w:proofErr w:type="spellStart"/>
      <w:r w:rsidRPr="00352BE0">
        <w:rPr>
          <w:rFonts w:ascii="Times New Roman" w:eastAsia="Times New Roman" w:hAnsi="Times New Roman" w:cs="Times New Roman"/>
          <w:color w:val="000000"/>
          <w:sz w:val="27"/>
          <w:szCs w:val="27"/>
          <w:lang w:eastAsia="it-IT"/>
        </w:rPr>
        <w:t>Brabant</w:t>
      </w:r>
      <w:proofErr w:type="spellEnd"/>
      <w:r w:rsidRPr="00352BE0">
        <w:rPr>
          <w:rFonts w:ascii="Times New Roman" w:eastAsia="Times New Roman" w:hAnsi="Times New Roman" w:cs="Times New Roman"/>
          <w:color w:val="000000"/>
          <w:sz w:val="27"/>
          <w:szCs w:val="27"/>
          <w:lang w:eastAsia="it-IT"/>
        </w:rPr>
        <w:t>, punti 47 e 50, nonché Sea, punto 59).</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9" w:name="point29"/>
      <w:r w:rsidRPr="00352BE0">
        <w:rPr>
          <w:rFonts w:ascii="Times New Roman" w:eastAsia="Times New Roman" w:hAnsi="Times New Roman" w:cs="Times New Roman"/>
          <w:color w:val="000000"/>
          <w:sz w:val="27"/>
          <w:szCs w:val="27"/>
          <w:lang w:eastAsia="it-IT"/>
        </w:rPr>
        <w:t>29</w:t>
      </w:r>
      <w:bookmarkEnd w:id="29"/>
      <w:r w:rsidRPr="00352BE0">
        <w:rPr>
          <w:rFonts w:ascii="Times New Roman" w:eastAsia="Times New Roman" w:hAnsi="Times New Roman" w:cs="Times New Roman"/>
          <w:color w:val="000000"/>
          <w:sz w:val="27"/>
          <w:szCs w:val="27"/>
          <w:lang w:eastAsia="it-IT"/>
        </w:rPr>
        <w:t>      Da ciò consegue che, se un’autorità pubblica diventa socia di minoranza di una società per azioni a capitale interamente pubblico al fine di attribuirle la gestione di un servizio pubblico, il controllo che le autorità pubbliche associate nell’ambito di tale società esercitano su quest’ultima può essere qualificato come analogo al controllo che esse esercitano sui propri servizi, qualora esso venga esercitato congiuntamente dalle autorità suddette (sentenza Sea, cit., punto 63).</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0" w:name="point30"/>
      <w:r w:rsidRPr="00352BE0">
        <w:rPr>
          <w:rFonts w:ascii="Times New Roman" w:eastAsia="Times New Roman" w:hAnsi="Times New Roman" w:cs="Times New Roman"/>
          <w:color w:val="000000"/>
          <w:sz w:val="27"/>
          <w:szCs w:val="27"/>
          <w:lang w:eastAsia="it-IT"/>
        </w:rPr>
        <w:t>30</w:t>
      </w:r>
      <w:bookmarkEnd w:id="30"/>
      <w:r w:rsidRPr="00352BE0">
        <w:rPr>
          <w:rFonts w:ascii="Times New Roman" w:eastAsia="Times New Roman" w:hAnsi="Times New Roman" w:cs="Times New Roman"/>
          <w:color w:val="000000"/>
          <w:sz w:val="27"/>
          <w:szCs w:val="27"/>
          <w:lang w:eastAsia="it-IT"/>
        </w:rPr>
        <w:t>      Date tali premesse, non vi è dubbio che, ove più autorità pubbliche facciano ricorso ad un’entità comune ai fini dell’adempimento di un compito comune di servizio pubblico, non è indispensabile che ciascuna di esse detenga da sola un potere di controllo individuale su tale entità; ciononostante, il controllo esercitato su quest’ultima non può fondarsi soltanto sul potere di controllo dell’autorità pubblica che detiene una partecipazione di maggioranza nel capitale dell’entità in questione, e ciò perché, in caso contrario, verrebbe svuotata di significato la nozione stessa di controllo congiunto.</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1" w:name="point31"/>
      <w:r w:rsidRPr="00352BE0">
        <w:rPr>
          <w:rFonts w:ascii="Times New Roman" w:eastAsia="Times New Roman" w:hAnsi="Times New Roman" w:cs="Times New Roman"/>
          <w:color w:val="000000"/>
          <w:sz w:val="27"/>
          <w:szCs w:val="27"/>
          <w:lang w:eastAsia="it-IT"/>
        </w:rPr>
        <w:t>31</w:t>
      </w:r>
      <w:bookmarkEnd w:id="31"/>
      <w:r w:rsidRPr="00352BE0">
        <w:rPr>
          <w:rFonts w:ascii="Times New Roman" w:eastAsia="Times New Roman" w:hAnsi="Times New Roman" w:cs="Times New Roman"/>
          <w:color w:val="000000"/>
          <w:sz w:val="27"/>
          <w:szCs w:val="27"/>
          <w:lang w:eastAsia="it-IT"/>
        </w:rPr>
        <w:t xml:space="preserve">      Infatti, l’eventualità che un’amministrazione aggiudicatrice abbia, nell’ambito di un’entità affidataria posseduta in comune, una posizione inidonea a garantirle la benché minima possibilità di partecipare al controllo di tale entità aprirebbe la strada ad un’elusione dell’applicazione delle norme del diritto dell’Unione in materia di appalti pubblici o di concessioni di servizi, dal momento che una presenza puramente formale nella compagine di tale entità o in un organo comune incaricato della direzione della stessa dispenserebbe detta amministrazione aggiudicatrice dall’obbligo di avviare una procedura di gara d’appalto secondo le norme dell’Unione, nonostante essa non prenda parte in alcun modo all’esercizio del «controllo analogo» sull’entità in questione (v., in tal senso, sentenza del 21 luglio 2005, </w:t>
      </w:r>
      <w:proofErr w:type="spellStart"/>
      <w:r w:rsidRPr="00352BE0">
        <w:rPr>
          <w:rFonts w:ascii="Times New Roman" w:eastAsia="Times New Roman" w:hAnsi="Times New Roman" w:cs="Times New Roman"/>
          <w:color w:val="000000"/>
          <w:sz w:val="27"/>
          <w:szCs w:val="27"/>
          <w:lang w:eastAsia="it-IT"/>
        </w:rPr>
        <w:t>Coname</w:t>
      </w:r>
      <w:proofErr w:type="spellEnd"/>
      <w:r w:rsidRPr="00352BE0">
        <w:rPr>
          <w:rFonts w:ascii="Times New Roman" w:eastAsia="Times New Roman" w:hAnsi="Times New Roman" w:cs="Times New Roman"/>
          <w:color w:val="000000"/>
          <w:sz w:val="27"/>
          <w:szCs w:val="27"/>
          <w:lang w:eastAsia="it-IT"/>
        </w:rPr>
        <w:t>, C</w:t>
      </w:r>
      <w:r w:rsidRPr="00352BE0">
        <w:rPr>
          <w:rFonts w:ascii="Times New Roman" w:eastAsia="Times New Roman" w:hAnsi="Times New Roman" w:cs="Times New Roman"/>
          <w:color w:val="000000"/>
          <w:sz w:val="27"/>
          <w:szCs w:val="27"/>
          <w:lang w:eastAsia="it-IT"/>
        </w:rPr>
        <w:noBreakHyphen/>
        <w:t xml:space="preserve">231/03, </w:t>
      </w:r>
      <w:proofErr w:type="spellStart"/>
      <w:r w:rsidRPr="00352BE0">
        <w:rPr>
          <w:rFonts w:ascii="Times New Roman" w:eastAsia="Times New Roman" w:hAnsi="Times New Roman" w:cs="Times New Roman"/>
          <w:color w:val="000000"/>
          <w:sz w:val="27"/>
          <w:szCs w:val="27"/>
          <w:lang w:eastAsia="it-IT"/>
        </w:rPr>
        <w:t>Racc</w:t>
      </w:r>
      <w:proofErr w:type="spellEnd"/>
      <w:r w:rsidRPr="00352BE0">
        <w:rPr>
          <w:rFonts w:ascii="Times New Roman" w:eastAsia="Times New Roman" w:hAnsi="Times New Roman" w:cs="Times New Roman"/>
          <w:color w:val="000000"/>
          <w:sz w:val="27"/>
          <w:szCs w:val="27"/>
          <w:lang w:eastAsia="it-IT"/>
        </w:rPr>
        <w:t>. pag. I</w:t>
      </w:r>
      <w:r w:rsidRPr="00352BE0">
        <w:rPr>
          <w:rFonts w:ascii="Times New Roman" w:eastAsia="Times New Roman" w:hAnsi="Times New Roman" w:cs="Times New Roman"/>
          <w:color w:val="000000"/>
          <w:sz w:val="27"/>
          <w:szCs w:val="27"/>
          <w:lang w:eastAsia="it-IT"/>
        </w:rPr>
        <w:noBreakHyphen/>
        <w:t>7287, punto 24).</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2" w:name="point32"/>
      <w:r w:rsidRPr="00352BE0">
        <w:rPr>
          <w:rFonts w:ascii="Times New Roman" w:eastAsia="Times New Roman" w:hAnsi="Times New Roman" w:cs="Times New Roman"/>
          <w:color w:val="000000"/>
          <w:sz w:val="27"/>
          <w:szCs w:val="27"/>
          <w:lang w:eastAsia="it-IT"/>
        </w:rPr>
        <w:t>32</w:t>
      </w:r>
      <w:bookmarkEnd w:id="32"/>
      <w:r w:rsidRPr="00352BE0">
        <w:rPr>
          <w:rFonts w:ascii="Times New Roman" w:eastAsia="Times New Roman" w:hAnsi="Times New Roman" w:cs="Times New Roman"/>
          <w:color w:val="000000"/>
          <w:sz w:val="27"/>
          <w:szCs w:val="27"/>
          <w:lang w:eastAsia="it-IT"/>
        </w:rPr>
        <w:t xml:space="preserve">      Ne consegue che, nei procedimenti principali, spetta al giudice del rinvio verificare se la sottoscrizione, da parte del Comune di Cagno e del Comune di </w:t>
      </w:r>
      <w:r w:rsidRPr="00352BE0">
        <w:rPr>
          <w:rFonts w:ascii="Times New Roman" w:eastAsia="Times New Roman" w:hAnsi="Times New Roman" w:cs="Times New Roman"/>
          <w:color w:val="000000"/>
          <w:sz w:val="27"/>
          <w:szCs w:val="27"/>
          <w:lang w:eastAsia="it-IT"/>
        </w:rPr>
        <w:lastRenderedPageBreak/>
        <w:t>Solbiate, di un patto parasociale che conferisce loro il diritto di essere consultati, di nominare un membro del collegio sindacale e di designare un consigliere di amministrazione in accordo con gli altri enti interessati dal patto suddetto sia idonea a consentire a tali comuni di contribuire effettivamente al controllo della ASPEM.</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3" w:name="point33"/>
      <w:r w:rsidRPr="00352BE0">
        <w:rPr>
          <w:rFonts w:ascii="Times New Roman" w:eastAsia="Times New Roman" w:hAnsi="Times New Roman" w:cs="Times New Roman"/>
          <w:color w:val="000000"/>
          <w:sz w:val="27"/>
          <w:szCs w:val="27"/>
          <w:lang w:eastAsia="it-IT"/>
        </w:rPr>
        <w:t>33</w:t>
      </w:r>
      <w:bookmarkEnd w:id="33"/>
      <w:r w:rsidRPr="00352BE0">
        <w:rPr>
          <w:rFonts w:ascii="Times New Roman" w:eastAsia="Times New Roman" w:hAnsi="Times New Roman" w:cs="Times New Roman"/>
          <w:color w:val="000000"/>
          <w:sz w:val="27"/>
          <w:szCs w:val="27"/>
          <w:lang w:eastAsia="it-IT"/>
        </w:rPr>
        <w:t>      Alla luce delle considerazioni sopra svolte, occorre rispondere alla questione sollevata dichiarando che, quando più autorità pubbliche, nella loro veste di amministrazioni aggiudicatrici, istituiscono in comune un’entità incaricata di adempiere compiti di servizio pubblico ad esse spettanti, oppure quando un’autorità pubblica aderisce ad un’entità siffatta, la condizione enunciata dalla giurisprudenza della Corte, secondo cui tali autorità, per essere dispensate dal loro obbligo di avviare una procedura di aggiudicazione di appalto pubblico in conformità alle norme del diritto dell’Unione, debbono esercitare congiuntamente sull’entità in questione un controllo analogo a quello da esse esercitato sui propri servizi, è soddisfatta qualora ciascuna delle autorità stesse partecipi sia al capitale sia agli organi direttivi dell’entità suddetta.</w:t>
      </w:r>
    </w:p>
    <w:p w:rsidR="00352BE0" w:rsidRPr="00352BE0" w:rsidRDefault="00352BE0" w:rsidP="00352BE0">
      <w:pPr>
        <w:spacing w:before="480" w:after="240" w:line="240" w:lineRule="auto"/>
        <w:ind w:left="567"/>
        <w:jc w:val="both"/>
        <w:rPr>
          <w:rFonts w:ascii="Times New Roman" w:eastAsia="Times New Roman" w:hAnsi="Times New Roman" w:cs="Times New Roman"/>
          <w:b/>
          <w:bCs/>
          <w:color w:val="000000"/>
          <w:sz w:val="27"/>
          <w:szCs w:val="27"/>
          <w:lang w:eastAsia="it-IT"/>
        </w:rPr>
      </w:pPr>
      <w:r w:rsidRPr="00352BE0">
        <w:rPr>
          <w:rFonts w:ascii="Times New Roman" w:eastAsia="Times New Roman" w:hAnsi="Times New Roman" w:cs="Times New Roman"/>
          <w:b/>
          <w:bCs/>
          <w:color w:val="000000"/>
          <w:sz w:val="27"/>
          <w:szCs w:val="27"/>
          <w:lang w:eastAsia="it-IT"/>
        </w:rPr>
        <w:t> Sulle spese</w:t>
      </w:r>
    </w:p>
    <w:p w:rsidR="00352BE0" w:rsidRPr="00352BE0" w:rsidRDefault="00352BE0" w:rsidP="00352BE0">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4" w:name="point34"/>
      <w:r w:rsidRPr="00352BE0">
        <w:rPr>
          <w:rFonts w:ascii="Times New Roman" w:eastAsia="Times New Roman" w:hAnsi="Times New Roman" w:cs="Times New Roman"/>
          <w:color w:val="000000"/>
          <w:sz w:val="27"/>
          <w:szCs w:val="27"/>
          <w:lang w:eastAsia="it-IT"/>
        </w:rPr>
        <w:t>34</w:t>
      </w:r>
      <w:bookmarkEnd w:id="34"/>
      <w:r w:rsidRPr="00352BE0">
        <w:rPr>
          <w:rFonts w:ascii="Times New Roman" w:eastAsia="Times New Roman" w:hAnsi="Times New Roman" w:cs="Times New Roman"/>
          <w:color w:val="000000"/>
          <w:sz w:val="27"/>
          <w:szCs w:val="27"/>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352BE0" w:rsidRPr="00352BE0" w:rsidRDefault="00352BE0" w:rsidP="00352BE0">
      <w:pPr>
        <w:spacing w:before="480" w:after="24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Per questi motivi, la Corte (Terza Sezione) dichiara:</w:t>
      </w:r>
    </w:p>
    <w:p w:rsidR="00352BE0" w:rsidRPr="00352BE0" w:rsidRDefault="00352BE0" w:rsidP="00352BE0">
      <w:pPr>
        <w:spacing w:after="240" w:line="240" w:lineRule="auto"/>
        <w:ind w:left="567"/>
        <w:jc w:val="both"/>
        <w:rPr>
          <w:rFonts w:ascii="Times New Roman" w:eastAsia="Times New Roman" w:hAnsi="Times New Roman" w:cs="Times New Roman"/>
          <w:b/>
          <w:bCs/>
          <w:color w:val="000000"/>
          <w:sz w:val="27"/>
          <w:szCs w:val="27"/>
          <w:lang w:eastAsia="it-IT"/>
        </w:rPr>
      </w:pPr>
      <w:r w:rsidRPr="00352BE0">
        <w:rPr>
          <w:rFonts w:ascii="Times New Roman" w:eastAsia="Times New Roman" w:hAnsi="Times New Roman" w:cs="Times New Roman"/>
          <w:b/>
          <w:bCs/>
          <w:color w:val="000000"/>
          <w:sz w:val="27"/>
          <w:szCs w:val="27"/>
          <w:lang w:eastAsia="it-IT"/>
        </w:rPr>
        <w:t>Quando più autorità pubbliche, nella loro veste di amministrazioni aggiudicatrici, istituiscono in comune un’entità incaricata di adempiere compiti di servizio pubblico ad esse spettanti, oppure quando un’autorità pubblica aderisce ad un’entità siffatta, la condizione enunciata dalla giurisprudenza della Corte di giustizia dell’Unione europea, secondo cui tali autorità, per essere dispensate dal loro obbligo di avviare una procedura di aggiudicazione di appalto pubblico in conformità alle norme del diritto dell’Unione, debbono esercitare congiuntamente sull’entità in questione un controllo analogo a quello da esse esercitato sui propri servizi, è soddisfatta qualora ciascuna delle autorità stesse partecipi sia al capitale sia agli organi direttivi dell’entità suddetta.</w:t>
      </w:r>
    </w:p>
    <w:p w:rsidR="00352BE0" w:rsidRPr="00352BE0" w:rsidRDefault="00352BE0" w:rsidP="00352BE0">
      <w:pPr>
        <w:spacing w:after="1200" w:line="240" w:lineRule="auto"/>
        <w:ind w:left="567"/>
        <w:jc w:val="both"/>
        <w:rPr>
          <w:rFonts w:ascii="Times New Roman" w:eastAsia="Times New Roman" w:hAnsi="Times New Roman" w:cs="Times New Roman"/>
          <w:color w:val="000000"/>
          <w:sz w:val="27"/>
          <w:szCs w:val="27"/>
          <w:lang w:eastAsia="it-IT"/>
        </w:rPr>
      </w:pPr>
      <w:r w:rsidRPr="00352BE0">
        <w:rPr>
          <w:rFonts w:ascii="Times New Roman" w:eastAsia="Times New Roman" w:hAnsi="Times New Roman" w:cs="Times New Roman"/>
          <w:color w:val="000000"/>
          <w:sz w:val="27"/>
          <w:szCs w:val="27"/>
          <w:lang w:eastAsia="it-IT"/>
        </w:rPr>
        <w:t>Firme</w:t>
      </w:r>
    </w:p>
    <w:p w:rsidR="00352BE0" w:rsidRPr="00352BE0" w:rsidRDefault="00352BE0" w:rsidP="00352BE0">
      <w:pPr>
        <w:spacing w:after="0" w:line="240" w:lineRule="auto"/>
        <w:rPr>
          <w:rFonts w:ascii="Times New Roman" w:eastAsia="Times New Roman" w:hAnsi="Times New Roman" w:cs="Times New Roman"/>
          <w:sz w:val="24"/>
          <w:szCs w:val="24"/>
          <w:lang w:eastAsia="it-IT"/>
        </w:rPr>
      </w:pPr>
      <w:r w:rsidRPr="00352BE0">
        <w:rPr>
          <w:rFonts w:ascii="Times New Roman" w:eastAsia="Times New Roman" w:hAnsi="Times New Roman" w:cs="Times New Roman"/>
          <w:sz w:val="24"/>
          <w:szCs w:val="24"/>
          <w:lang w:eastAsia="it-IT"/>
        </w:rPr>
        <w:pict>
          <v:rect id="_x0000_i1025" style="width:0;height:1.5pt" o:hralign="center" o:hrstd="t" o:hrnoshade="t" o:hr="t" fillcolor="black" stroked="f"/>
        </w:pict>
      </w:r>
    </w:p>
    <w:bookmarkStart w:id="35" w:name="Footnote*"/>
    <w:p w:rsidR="00352BE0" w:rsidRPr="00352BE0" w:rsidRDefault="00352BE0" w:rsidP="00352BE0">
      <w:pPr>
        <w:spacing w:after="0" w:line="240" w:lineRule="auto"/>
        <w:ind w:left="567"/>
        <w:rPr>
          <w:rFonts w:ascii="Times New Roman" w:eastAsia="Times New Roman" w:hAnsi="Times New Roman" w:cs="Times New Roman"/>
          <w:color w:val="000000"/>
          <w:sz w:val="15"/>
          <w:szCs w:val="15"/>
          <w:lang w:eastAsia="it-IT"/>
        </w:rPr>
      </w:pPr>
      <w:r w:rsidRPr="00352BE0">
        <w:rPr>
          <w:rFonts w:ascii="Times New Roman" w:eastAsia="Times New Roman" w:hAnsi="Times New Roman" w:cs="Times New Roman"/>
          <w:color w:val="000000"/>
          <w:sz w:val="15"/>
          <w:szCs w:val="15"/>
          <w:lang w:eastAsia="it-IT"/>
        </w:rPr>
        <w:fldChar w:fldCharType="begin"/>
      </w:r>
      <w:r w:rsidRPr="00352BE0">
        <w:rPr>
          <w:rFonts w:ascii="Times New Roman" w:eastAsia="Times New Roman" w:hAnsi="Times New Roman" w:cs="Times New Roman"/>
          <w:color w:val="000000"/>
          <w:sz w:val="15"/>
          <w:szCs w:val="15"/>
          <w:lang w:eastAsia="it-IT"/>
        </w:rPr>
        <w:instrText xml:space="preserve"> HYPERLINK "http://curia.europa.eu/juris/document/document_print.jsf?docid=130625&amp;text=&amp;dir=&amp;doclang=IT&amp;part=1&amp;occ=first&amp;mode=lst&amp;pageIndex=0&amp;cid=87147" \l "Footref*" </w:instrText>
      </w:r>
      <w:r w:rsidRPr="00352BE0">
        <w:rPr>
          <w:rFonts w:ascii="Times New Roman" w:eastAsia="Times New Roman" w:hAnsi="Times New Roman" w:cs="Times New Roman"/>
          <w:color w:val="000000"/>
          <w:sz w:val="15"/>
          <w:szCs w:val="15"/>
          <w:lang w:eastAsia="it-IT"/>
        </w:rPr>
        <w:fldChar w:fldCharType="separate"/>
      </w:r>
      <w:r w:rsidRPr="00352BE0">
        <w:rPr>
          <w:rFonts w:ascii="Times New Roman" w:eastAsia="Times New Roman" w:hAnsi="Times New Roman" w:cs="Times New Roman"/>
          <w:color w:val="0000FF"/>
          <w:sz w:val="15"/>
          <w:szCs w:val="15"/>
          <w:u w:val="single"/>
          <w:lang w:eastAsia="it-IT"/>
        </w:rPr>
        <w:t>*</w:t>
      </w:r>
      <w:r w:rsidRPr="00352BE0">
        <w:rPr>
          <w:rFonts w:ascii="Times New Roman" w:eastAsia="Times New Roman" w:hAnsi="Times New Roman" w:cs="Times New Roman"/>
          <w:color w:val="000000"/>
          <w:sz w:val="15"/>
          <w:szCs w:val="15"/>
          <w:lang w:eastAsia="it-IT"/>
        </w:rPr>
        <w:fldChar w:fldCharType="end"/>
      </w:r>
      <w:bookmarkEnd w:id="35"/>
      <w:r w:rsidRPr="00352BE0">
        <w:rPr>
          <w:rFonts w:ascii="Times New Roman" w:eastAsia="Times New Roman" w:hAnsi="Times New Roman" w:cs="Times New Roman"/>
          <w:color w:val="000000"/>
          <w:sz w:val="15"/>
          <w:szCs w:val="15"/>
          <w:lang w:eastAsia="it-IT"/>
        </w:rPr>
        <w:t> Lingua processuale: l’italiano.</w:t>
      </w:r>
    </w:p>
    <w:p w:rsidR="00F272D2" w:rsidRPr="00352BE0" w:rsidRDefault="00F272D2" w:rsidP="00352BE0">
      <w:bookmarkStart w:id="36" w:name="_GoBack"/>
      <w:bookmarkEnd w:id="36"/>
    </w:p>
    <w:sectPr w:rsidR="00F272D2" w:rsidRPr="00352B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64"/>
    <w:rsid w:val="00352BE0"/>
    <w:rsid w:val="00624364"/>
    <w:rsid w:val="00B524CB"/>
    <w:rsid w:val="00EB5499"/>
    <w:rsid w:val="00F272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2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3479</Words>
  <Characters>19832</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2</cp:revision>
  <dcterms:created xsi:type="dcterms:W3CDTF">2018-11-03T10:59:00Z</dcterms:created>
  <dcterms:modified xsi:type="dcterms:W3CDTF">2018-11-03T10:59:00Z</dcterms:modified>
</cp:coreProperties>
</file>