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BA" w:rsidRDefault="00E04BC9">
      <w:pPr>
        <w:contextualSpacing w:val="0"/>
        <w:jc w:val="right"/>
      </w:pPr>
      <w:bookmarkStart w:id="0" w:name="_GoBack"/>
      <w:bookmarkEnd w:id="0"/>
      <w:r>
        <w:rPr>
          <w:b/>
        </w:rPr>
        <w:t>MAGGIOLI EDITORE - Appalti e contratti</w:t>
      </w:r>
    </w:p>
    <w:p w:rsidR="007137BA" w:rsidRDefault="00E04BC9">
      <w:pPr>
        <w:contextualSpacing w:val="0"/>
      </w:pPr>
      <w:r>
        <w:pict>
          <v:rect id="_x0000_i1025" style="width:0;height:1.5pt" o:hralign="center" o:hrstd="t" o:hr="t" fillcolor="#a0a0a0" stroked="f"/>
        </w:pict>
      </w:r>
    </w:p>
    <w:p w:rsidR="007137BA" w:rsidRDefault="00E04BC9">
      <w:pPr>
        <w:contextualSpacing w:val="0"/>
      </w:pPr>
      <w:r>
        <w:rPr>
          <w:b/>
        </w:rPr>
        <w:t>TAR Liguria sez. II 5/10/2016 n. 987</w:t>
      </w:r>
    </w:p>
    <w:p w:rsidR="007137BA" w:rsidRDefault="00E04BC9">
      <w:pPr>
        <w:contextualSpacing w:val="0"/>
      </w:pPr>
      <w:r>
        <w:rPr>
          <w:b/>
        </w:rPr>
        <w:t xml:space="preserve">Appalti pubblici - Avvalimento - Obbligo di reale messa a disposizione delle risorse umane e dei beni strumentali occorrenti per la realizzazione dei lavori o dei servizi oggetto di gara - Conseguente obbligo per l'impresa </w:t>
      </w:r>
      <w:proofErr w:type="spellStart"/>
      <w:r>
        <w:rPr>
          <w:b/>
        </w:rPr>
        <w:t>ausiliata</w:t>
      </w:r>
      <w:proofErr w:type="spellEnd"/>
      <w:r>
        <w:rPr>
          <w:b/>
        </w:rPr>
        <w:t xml:space="preserve"> di presentare alla staz</w:t>
      </w:r>
      <w:r>
        <w:rPr>
          <w:b/>
        </w:rPr>
        <w:t>ione appaltante l'elencazione dettagliata dei fattori produttivi - Necessaria per valutare la loro idoneità all'esecuzione dell'opera</w:t>
      </w:r>
    </w:p>
    <w:p w:rsidR="007137BA" w:rsidRDefault="00E04BC9">
      <w:pPr>
        <w:contextualSpacing w:val="0"/>
      </w:pPr>
      <w:r>
        <w:t>Ai sensi dell’art. 88 del D.P.R. 5.10.2010, n. 207, </w:t>
      </w:r>
      <w:r>
        <w:rPr>
          <w:i/>
        </w:rPr>
        <w:t>“per la qualificazione in gara, il contratto di cui all'articolo 49, c</w:t>
      </w:r>
      <w:r>
        <w:rPr>
          <w:i/>
        </w:rPr>
        <w:t>omma 2, lettera f), del codice deve riportare in modo compiuto, esplicito ed esauriente: a) oggetto: le risorse e i mezzi prestati in modo determinato e specifico </w:t>
      </w:r>
      <w:r>
        <w:t>[…]</w:t>
      </w:r>
      <w:r>
        <w:rPr>
          <w:i/>
        </w:rPr>
        <w:t>”</w:t>
      </w:r>
      <w:r>
        <w:t>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L'esigenza di una puntuale individuazione dell’oggetto del contratto di avvalimento, o</w:t>
      </w:r>
      <w:r>
        <w:t xml:space="preserve">ltre ad avere un sicuro ancoraggio sul terreno civilistico nella generale previsione </w:t>
      </w:r>
      <w:proofErr w:type="spellStart"/>
      <w:r>
        <w:t>codicistica</w:t>
      </w:r>
      <w:proofErr w:type="spellEnd"/>
      <w:r>
        <w:t xml:space="preserve"> che configura quale causa di nullità di ogni contratto l'indeterminatezza ed indeterminabilità del relativo oggetto (art. 1346 cod. civ.), trova la propria ess</w:t>
      </w:r>
      <w:r>
        <w:t xml:space="preserve">enziale giustificazione funzionale, inscindibilmente connessa alle procedure contrattuali del settore pubblico, nella necessità di non permettere agevoli aggiramenti del sistema dei requisiti di ingresso alle gare pubbliche (così </w:t>
      </w:r>
      <w:proofErr w:type="spellStart"/>
      <w:r>
        <w:t>Cons</w:t>
      </w:r>
      <w:proofErr w:type="spellEnd"/>
      <w:r>
        <w:t>. di St., III, 29.1.20</w:t>
      </w:r>
      <w:r>
        <w:t>16, n. 346).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Difatti, elemento essenziale dell'istituto dell'avvalimento è la reale messa a disposizione delle risorse umane e dei beni strumentali occorrenti per la realizzazione dei lavori o dei servizi oggetto di gara, con conseguente obbligo per l'imp</w:t>
      </w:r>
      <w:r>
        <w:t xml:space="preserve">resa </w:t>
      </w:r>
      <w:proofErr w:type="spellStart"/>
      <w:r>
        <w:t>ausiliata</w:t>
      </w:r>
      <w:proofErr w:type="spellEnd"/>
      <w:r>
        <w:t xml:space="preserve"> di presentare alla stazione appaltante l'elencazione dettagliata dei fattori produttivi, in modo da consentirle di conoscere la consistenza del complesso economico-finanziario e tecnico-organizzativo offerti in prestito dall'ausiliaria, e di</w:t>
      </w:r>
      <w:r>
        <w:t xml:space="preserve"> valutare la loro idoneità all'esecuzione dell'opera (</w:t>
      </w:r>
      <w:proofErr w:type="spellStart"/>
      <w:r>
        <w:t>Cons</w:t>
      </w:r>
      <w:proofErr w:type="spellEnd"/>
      <w:r>
        <w:t>. di St., sez. V, 28.9.2015, n. 4507). E ciò in quanto l'avvalimento, traducendosi in una deroga al principio del possesso dei requisiti di partecipazione da parte del concorrente, impone, anche nel</w:t>
      </w:r>
      <w:r>
        <w:t xml:space="preserve">le gare finalizzate all'affidamento di servizi e indipendentemente dal carattere operativo o di garanzia del contratto, l'individuazione delle risorse esterne che giustificano l'applicazione del regime di favore (così </w:t>
      </w:r>
      <w:proofErr w:type="spellStart"/>
      <w:r>
        <w:t>Cons</w:t>
      </w:r>
      <w:proofErr w:type="spellEnd"/>
      <w:r>
        <w:t xml:space="preserve">. Stato, sez. III, 7 luglio 2015, </w:t>
      </w:r>
      <w:r>
        <w:t>n. 3390; sez. V 26 maggio 2015, n. 2627).</w:t>
      </w:r>
    </w:p>
    <w:p w:rsidR="007137BA" w:rsidRDefault="00E04BC9">
      <w:pPr>
        <w:contextualSpacing w:val="0"/>
        <w:jc w:val="right"/>
      </w:pPr>
      <w:r>
        <w:t>Pubblicato il 05/10/2016</w:t>
      </w:r>
    </w:p>
    <w:p w:rsidR="007137BA" w:rsidRDefault="007137BA">
      <w:pPr>
        <w:contextualSpacing w:val="0"/>
        <w:jc w:val="right"/>
      </w:pPr>
    </w:p>
    <w:p w:rsidR="007137BA" w:rsidRDefault="00E04BC9">
      <w:pPr>
        <w:contextualSpacing w:val="0"/>
        <w:jc w:val="right"/>
      </w:pPr>
      <w:r>
        <w:rPr>
          <w:b/>
        </w:rPr>
        <w:t>N. 00987/2016 REG.PROV.COLL.</w:t>
      </w:r>
    </w:p>
    <w:p w:rsidR="007137BA" w:rsidRDefault="007137BA">
      <w:pPr>
        <w:contextualSpacing w:val="0"/>
        <w:jc w:val="right"/>
      </w:pPr>
    </w:p>
    <w:p w:rsidR="007137BA" w:rsidRDefault="00E04BC9">
      <w:pPr>
        <w:contextualSpacing w:val="0"/>
        <w:jc w:val="right"/>
      </w:pPr>
      <w:r>
        <w:rPr>
          <w:b/>
        </w:rPr>
        <w:t>N. 00471/2016 REG.RIC.</w:t>
      </w:r>
    </w:p>
    <w:p w:rsidR="007137BA" w:rsidRDefault="00E04BC9">
      <w:pPr>
        <w:contextualSpacing w:val="0"/>
        <w:jc w:val="center"/>
      </w:pPr>
      <w:r>
        <w:rPr>
          <w:b/>
        </w:rPr>
        <w:t>REPUBBLICA ITALIANA</w:t>
      </w:r>
    </w:p>
    <w:p w:rsidR="007137BA" w:rsidRDefault="007137BA">
      <w:pPr>
        <w:contextualSpacing w:val="0"/>
        <w:jc w:val="center"/>
      </w:pPr>
    </w:p>
    <w:p w:rsidR="007137BA" w:rsidRDefault="00E04BC9">
      <w:pPr>
        <w:contextualSpacing w:val="0"/>
        <w:jc w:val="center"/>
      </w:pPr>
      <w:r>
        <w:rPr>
          <w:b/>
        </w:rPr>
        <w:t>IN NOME DEL POPOLO ITALIANO</w:t>
      </w:r>
    </w:p>
    <w:p w:rsidR="007137BA" w:rsidRDefault="007137BA">
      <w:pPr>
        <w:contextualSpacing w:val="0"/>
        <w:jc w:val="center"/>
      </w:pPr>
    </w:p>
    <w:p w:rsidR="007137BA" w:rsidRDefault="00E04BC9">
      <w:pPr>
        <w:contextualSpacing w:val="0"/>
        <w:jc w:val="center"/>
      </w:pPr>
      <w:r>
        <w:rPr>
          <w:b/>
        </w:rPr>
        <w:t>Il Tribunale Amministrativo Regionale per la Liguria</w:t>
      </w:r>
    </w:p>
    <w:p w:rsidR="007137BA" w:rsidRDefault="007137BA">
      <w:pPr>
        <w:contextualSpacing w:val="0"/>
        <w:jc w:val="center"/>
      </w:pPr>
    </w:p>
    <w:p w:rsidR="007137BA" w:rsidRDefault="00E04BC9">
      <w:pPr>
        <w:contextualSpacing w:val="0"/>
        <w:jc w:val="center"/>
      </w:pPr>
      <w:r>
        <w:rPr>
          <w:b/>
        </w:rPr>
        <w:t>(Sezione Seconda)</w:t>
      </w:r>
    </w:p>
    <w:p w:rsidR="007137BA" w:rsidRDefault="007137BA">
      <w:pPr>
        <w:contextualSpacing w:val="0"/>
        <w:jc w:val="center"/>
      </w:pPr>
    </w:p>
    <w:p w:rsidR="007137BA" w:rsidRDefault="00E04BC9">
      <w:pPr>
        <w:contextualSpacing w:val="0"/>
        <w:jc w:val="center"/>
      </w:pPr>
      <w:r>
        <w:t>ha pronuncia</w:t>
      </w:r>
      <w:r>
        <w:t>to la presente</w:t>
      </w:r>
    </w:p>
    <w:p w:rsidR="007137BA" w:rsidRDefault="00E04BC9">
      <w:pPr>
        <w:contextualSpacing w:val="0"/>
        <w:jc w:val="center"/>
      </w:pPr>
      <w:r>
        <w:rPr>
          <w:b/>
        </w:rPr>
        <w:t>SENTENZA</w:t>
      </w:r>
    </w:p>
    <w:p w:rsidR="007137BA" w:rsidRDefault="00E04BC9">
      <w:pPr>
        <w:contextualSpacing w:val="0"/>
      </w:pPr>
      <w:r>
        <w:t>sul ricorso numero di registro generale 471 del 2016, proposto da: 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KCS </w:t>
      </w:r>
      <w:proofErr w:type="spellStart"/>
      <w:r>
        <w:t>Caregiver</w:t>
      </w:r>
      <w:proofErr w:type="spellEnd"/>
      <w:r>
        <w:t xml:space="preserve"> Cooperativa Sociale, rappresentata e difesa dall'avvocato Enrico Di </w:t>
      </w:r>
      <w:proofErr w:type="spellStart"/>
      <w:r>
        <w:t>Ienno</w:t>
      </w:r>
      <w:proofErr w:type="spellEnd"/>
      <w:r>
        <w:t>, con domicilio eletto presso lo studio dell’avv. Andrea Barra in Genova, vi</w:t>
      </w:r>
      <w:r>
        <w:t xml:space="preserve">a </w:t>
      </w:r>
      <w:proofErr w:type="spellStart"/>
      <w:r>
        <w:t>Macaggi</w:t>
      </w:r>
      <w:proofErr w:type="spellEnd"/>
      <w:r>
        <w:t>, 21/5; 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rPr>
          <w:b/>
          <w:i/>
        </w:rPr>
        <w:t>contro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Comune di Sanremo, rappresentato e difeso dagli avvocati Stefano </w:t>
      </w:r>
      <w:proofErr w:type="spellStart"/>
      <w:r>
        <w:t>Fadda</w:t>
      </w:r>
      <w:proofErr w:type="spellEnd"/>
      <w:r>
        <w:t xml:space="preserve">, Danilo </w:t>
      </w:r>
      <w:proofErr w:type="spellStart"/>
      <w:r>
        <w:t>Sfamurri</w:t>
      </w:r>
      <w:proofErr w:type="spellEnd"/>
      <w:r>
        <w:t xml:space="preserve"> e Sara Rossi, con domicilio eletto presso il loro studio in Genova, via Peschiera, 22; 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rPr>
          <w:b/>
          <w:i/>
        </w:rPr>
        <w:t>nei confronti di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- Consorzio di Cooperative </w:t>
      </w:r>
      <w:proofErr w:type="spellStart"/>
      <w:r>
        <w:t>Kursana</w:t>
      </w:r>
      <w:proofErr w:type="spellEnd"/>
      <w:r>
        <w:t xml:space="preserve"> </w:t>
      </w:r>
      <w:proofErr w:type="spellStart"/>
      <w:r>
        <w:t>Soc</w:t>
      </w:r>
      <w:proofErr w:type="spellEnd"/>
      <w:r>
        <w:t xml:space="preserve">. Coop. a </w:t>
      </w:r>
      <w:proofErr w:type="spellStart"/>
      <w:r>
        <w:t>r.l</w:t>
      </w:r>
      <w:proofErr w:type="spellEnd"/>
      <w:r>
        <w:t xml:space="preserve">., rappresentata e difesa dagli avvocati Filippo Martinez, Davide </w:t>
      </w:r>
      <w:proofErr w:type="spellStart"/>
      <w:r>
        <w:lastRenderedPageBreak/>
        <w:t>Moscuzza</w:t>
      </w:r>
      <w:proofErr w:type="spellEnd"/>
      <w:r>
        <w:t xml:space="preserve"> e Roberto </w:t>
      </w:r>
      <w:proofErr w:type="spellStart"/>
      <w:r>
        <w:t>Damonte</w:t>
      </w:r>
      <w:proofErr w:type="spellEnd"/>
      <w:r>
        <w:t>, con domicilio eletto presso lo studio del terzo in Genova, via Corsica 10/4; 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- Residenza Protetta Casa Serena</w:t>
      </w:r>
      <w:r>
        <w:t xml:space="preserve"> di Poggio, non costituita in giudizio; 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rPr>
          <w:b/>
          <w:i/>
        </w:rPr>
        <w:t>per l'annullamento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del provvedimento n. 1082/2016, concernente l’affidamento della gestione dei servizi di assistenza infermieristica, socio assistenziale coordinamento infermieristico e OSS presso la residenza pr</w:t>
      </w:r>
      <w:r>
        <w:t>otetta comunale "Casa Serena" per la durata di anni 4 (quattro).</w:t>
      </w:r>
    </w:p>
    <w:p w:rsidR="007137BA" w:rsidRDefault="00E04BC9">
      <w:pPr>
        <w:contextualSpacing w:val="0"/>
      </w:pPr>
      <w:r>
        <w:t>Visti il ricorso e i relativi allegati;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Visti gli atti di costituzione in giudizio del Comune di Sanremo e del Consorzio di Cooperative </w:t>
      </w:r>
      <w:proofErr w:type="spellStart"/>
      <w:r>
        <w:t>Kursana</w:t>
      </w:r>
      <w:proofErr w:type="spellEnd"/>
      <w:r>
        <w:t xml:space="preserve"> </w:t>
      </w:r>
      <w:proofErr w:type="spellStart"/>
      <w:r>
        <w:t>Soc</w:t>
      </w:r>
      <w:proofErr w:type="spellEnd"/>
      <w:r>
        <w:t xml:space="preserve">. Coop. a </w:t>
      </w:r>
      <w:proofErr w:type="spellStart"/>
      <w:r>
        <w:t>r.l</w:t>
      </w:r>
      <w:proofErr w:type="spellEnd"/>
      <w:r>
        <w:t>.;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Viste le memorie difensive</w:t>
      </w:r>
      <w:r>
        <w:t>;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Visti tutti gli atti della causa;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Relatore nell'udienza pubblica del giorno 29 settembre 2016 il dott. Angelo Vitali e uditi per le parti i difensori, come specificato nel verbale di udienza;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Ritenuto e considerato in fatto e diritto quanto segue.</w:t>
      </w:r>
    </w:p>
    <w:p w:rsidR="007137BA" w:rsidRDefault="00E04BC9">
      <w:pPr>
        <w:contextualSpacing w:val="0"/>
        <w:jc w:val="center"/>
      </w:pPr>
      <w:r>
        <w:rPr>
          <w:b/>
        </w:rPr>
        <w:t>FAT</w:t>
      </w:r>
      <w:r>
        <w:rPr>
          <w:b/>
        </w:rPr>
        <w:t>TO</w:t>
      </w:r>
    </w:p>
    <w:p w:rsidR="007137BA" w:rsidRDefault="00E04BC9">
      <w:pPr>
        <w:contextualSpacing w:val="0"/>
      </w:pPr>
      <w:r>
        <w:t xml:space="preserve">Con ricorso notificato in data 1.6.2016 la società KCS </w:t>
      </w:r>
      <w:proofErr w:type="spellStart"/>
      <w:r>
        <w:t>Caregiver</w:t>
      </w:r>
      <w:proofErr w:type="spellEnd"/>
      <w:r>
        <w:t xml:space="preserve"> Cooperativa Sociale, gestore uscente dei servizi di assistenza infermieristica, coordinamento infermieristico, coordinamento OSS, assistenza socio-assistenziale, consulenza fisiatrica etc.</w:t>
      </w:r>
      <w:r>
        <w:t xml:space="preserve"> presso la residenza protetta comunale “Casa serena” del comune di Sanremo, ha impugnato tutti gli atti ed i verbali della gara, da aggiudicarsi con il criterio dell’offerta economicamente più vantaggiosa, indetta dal comune di Sanremo per l’affidamento de</w:t>
      </w:r>
      <w:r>
        <w:t xml:space="preserve">lla nuova gestione per la durata di quattro anni, nonché l’aggiudicazione definitiva disposta a favore della </w:t>
      </w:r>
      <w:proofErr w:type="spellStart"/>
      <w:r>
        <w:t>controinteressata</w:t>
      </w:r>
      <w:proofErr w:type="spellEnd"/>
      <w:r>
        <w:t xml:space="preserve"> </w:t>
      </w:r>
      <w:proofErr w:type="spellStart"/>
      <w:r>
        <w:t>Kursana</w:t>
      </w:r>
      <w:proofErr w:type="spellEnd"/>
      <w:r>
        <w:t xml:space="preserve"> Consorzio di cooperative, disposta con determinazione del dirigente del settore servizi alla persona 29.4.2016, n. 1082.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Premette di essersi classificata al secondo posto nella graduatoria finale e, a sostegno del gravame, deduce quattro motivi di ricorso, rubricati come segue.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1. Violazione e falsa applicazione della </w:t>
      </w:r>
      <w:proofErr w:type="spellStart"/>
      <w:r>
        <w:t>lex</w:t>
      </w:r>
      <w:proofErr w:type="spellEnd"/>
      <w:r>
        <w:t xml:space="preserve"> </w:t>
      </w:r>
      <w:proofErr w:type="spellStart"/>
      <w:r>
        <w:t>specialis</w:t>
      </w:r>
      <w:proofErr w:type="spellEnd"/>
      <w:r>
        <w:t>. Violazione del § 8.1 e in particolare del § 8.1.4 del disciplinare di gara. Violazione della par condicio; Eccesso di potere per disparità di trattamento, illogicità, contraddittorietà. Violazione del</w:t>
      </w:r>
      <w:r>
        <w:t xml:space="preserve">l’art. 97 </w:t>
      </w:r>
      <w:proofErr w:type="spellStart"/>
      <w:r>
        <w:t>Cost</w:t>
      </w:r>
      <w:proofErr w:type="spellEnd"/>
      <w:r>
        <w:t>..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Il consorzio controinteressato avrebbe dovuto essere escluso dalla gara non avendo tempestivamente prodotto, a corredo della domanda di partecipazione, la dichiarazione antimafia prevista dall’art. 85 comma 3 del D. </w:t>
      </w:r>
      <w:proofErr w:type="spellStart"/>
      <w:r>
        <w:t>Lgs</w:t>
      </w:r>
      <w:proofErr w:type="spellEnd"/>
      <w:r>
        <w:t>. n. 159/2011 e dal</w:t>
      </w:r>
      <w:r>
        <w:t xml:space="preserve"> punto 8.1.4 del disciplinare di gara, inerente i familiari conviventi di maggiore età del revisore unico della Cooperativa consorziata </w:t>
      </w:r>
      <w:proofErr w:type="spellStart"/>
      <w:r>
        <w:t>Kursana</w:t>
      </w:r>
      <w:proofErr w:type="spellEnd"/>
      <w:r>
        <w:t xml:space="preserve"> Piemonte, esecutrice del servizio.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2. Violazione e falsa applicazione della </w:t>
      </w:r>
      <w:proofErr w:type="spellStart"/>
      <w:r>
        <w:t>lex</w:t>
      </w:r>
      <w:proofErr w:type="spellEnd"/>
      <w:r>
        <w:t xml:space="preserve"> </w:t>
      </w:r>
      <w:proofErr w:type="spellStart"/>
      <w:r>
        <w:t>specialis</w:t>
      </w:r>
      <w:proofErr w:type="spellEnd"/>
      <w:r>
        <w:t>. Violazione del § 8.1</w:t>
      </w:r>
      <w:r>
        <w:t xml:space="preserve">.4 del disciplinare di gara. Violazione dell’art. 38 comma 2-bis e dell’art. 46 comma 1-ter del D. </w:t>
      </w:r>
      <w:proofErr w:type="spellStart"/>
      <w:r>
        <w:t>Lgs</w:t>
      </w:r>
      <w:proofErr w:type="spellEnd"/>
      <w:r>
        <w:t>. 163/2006. Violazione del principio della par condicio; Eccesso di potere per disparità di trattamento, illogicità, contraddittorietà. Violazione dell’ar</w:t>
      </w:r>
      <w:r>
        <w:t xml:space="preserve">t. 97 </w:t>
      </w:r>
      <w:proofErr w:type="spellStart"/>
      <w:r>
        <w:t>Cost</w:t>
      </w:r>
      <w:proofErr w:type="spellEnd"/>
      <w:r>
        <w:t>..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Lamenta la tardiva presentazione, nella fase di controllo ex art. 48 D. </w:t>
      </w:r>
      <w:proofErr w:type="spellStart"/>
      <w:r>
        <w:t>Lgs</w:t>
      </w:r>
      <w:proofErr w:type="spellEnd"/>
      <w:r>
        <w:t xml:space="preserve">. n. 163/2006, delle dichiarazioni relative ai sindaci dell’ausiliaria Cooperativa sant’Andrea relativamente ai familiari conviventi ex art. 85 comma 3 del D. </w:t>
      </w:r>
      <w:proofErr w:type="spellStart"/>
      <w:r>
        <w:t>Lgs</w:t>
      </w:r>
      <w:proofErr w:type="spellEnd"/>
      <w:r>
        <w:t xml:space="preserve">. n. </w:t>
      </w:r>
      <w:r>
        <w:t>159/2011, in violazione della normativa sul soccorso istruttorio.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3. Violazione e falsa applicazione della </w:t>
      </w:r>
      <w:proofErr w:type="spellStart"/>
      <w:r>
        <w:t>lex</w:t>
      </w:r>
      <w:proofErr w:type="spellEnd"/>
      <w:r>
        <w:t xml:space="preserve"> </w:t>
      </w:r>
      <w:proofErr w:type="spellStart"/>
      <w:r>
        <w:t>specialis</w:t>
      </w:r>
      <w:proofErr w:type="spellEnd"/>
      <w:r>
        <w:t xml:space="preserve">. Violazione del § 8.3.2 e § 8.4 del disciplinare e dell’art. 3 allegato 2. Violazione dell’art. 49 del D. </w:t>
      </w:r>
      <w:proofErr w:type="spellStart"/>
      <w:r>
        <w:t>Lgs</w:t>
      </w:r>
      <w:proofErr w:type="spellEnd"/>
      <w:r>
        <w:t>. n. 163/2006 e art. 48 D</w:t>
      </w:r>
      <w:r>
        <w:t xml:space="preserve">. </w:t>
      </w:r>
      <w:proofErr w:type="spellStart"/>
      <w:r>
        <w:t>Lgs</w:t>
      </w:r>
      <w:proofErr w:type="spellEnd"/>
      <w:r>
        <w:t xml:space="preserve">. 163/2006. Eccesso di potere per disparità di trattamento, illogicità, contraddittorietà. Violazione dell’art. 97 </w:t>
      </w:r>
      <w:proofErr w:type="spellStart"/>
      <w:r>
        <w:t>Cost</w:t>
      </w:r>
      <w:proofErr w:type="spellEnd"/>
      <w:r>
        <w:t>..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Lamenta che la Cooperativa Sant’Andrea, ausiliaria della </w:t>
      </w:r>
      <w:proofErr w:type="spellStart"/>
      <w:r>
        <w:t>controinteressata</w:t>
      </w:r>
      <w:proofErr w:type="spellEnd"/>
      <w:r>
        <w:t xml:space="preserve">, non sarebbe in possesso in proprio del </w:t>
      </w:r>
      <w:r>
        <w:lastRenderedPageBreak/>
        <w:t>requisito mes</w:t>
      </w:r>
      <w:r>
        <w:t>so a disposizione, concernente la gestione di una RSA di più di 180 posti letto, in quanto la gestione della RSA Famagosta di Milano è in realtà avvenuta in associazione con un’altra impresa (Segesta), ciò che oltretutto connoterebbe di falsità la dichiara</w:t>
      </w:r>
      <w:r>
        <w:t>zione circa il possesso del requisito.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4. Violazione e disapplicazione dell’art. 63 della direttiva 2014/24. Violazione dell’art. 49 del D. </w:t>
      </w:r>
      <w:proofErr w:type="spellStart"/>
      <w:r>
        <w:t>Lgs</w:t>
      </w:r>
      <w:proofErr w:type="spellEnd"/>
      <w:r>
        <w:t xml:space="preserve">. n. 163/2006 e art. 88 D.P.R. 207/2010. Violazione e falsa applicazione della </w:t>
      </w:r>
      <w:proofErr w:type="spellStart"/>
      <w:r>
        <w:t>lex</w:t>
      </w:r>
      <w:proofErr w:type="spellEnd"/>
      <w:r>
        <w:t xml:space="preserve"> </w:t>
      </w:r>
      <w:proofErr w:type="spellStart"/>
      <w:r>
        <w:t>specialis</w:t>
      </w:r>
      <w:proofErr w:type="spellEnd"/>
      <w:r>
        <w:t xml:space="preserve"> di gara. Disparità </w:t>
      </w:r>
      <w:r>
        <w:t xml:space="preserve">di trattamento. Eccesso di potere nelle forme dello sviamento, travisamento, contraddittorietà e difetto di motivazione. Violazione dell’art. 97 </w:t>
      </w:r>
      <w:proofErr w:type="spellStart"/>
      <w:r>
        <w:t>Cost</w:t>
      </w:r>
      <w:proofErr w:type="spellEnd"/>
      <w:r>
        <w:t>..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Denuncia la genericità del contratto di avvalimento con la Cooperativa Sant’Andrea, che non indicherebb</w:t>
      </w:r>
      <w:r>
        <w:t xml:space="preserve">e le risorse personali messe a disposizione della </w:t>
      </w:r>
      <w:proofErr w:type="spellStart"/>
      <w:r>
        <w:t>controinteressata</w:t>
      </w:r>
      <w:proofErr w:type="spellEnd"/>
      <w:r>
        <w:t>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Insta per la declaratoria di inefficacia del contratto e si dichiara disponibile al subentro.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Si sono costituiti in giudizio il comune di Sanremo e il Consorzio di cooperative </w:t>
      </w:r>
      <w:proofErr w:type="spellStart"/>
      <w:r>
        <w:t>Kursana</w:t>
      </w:r>
      <w:proofErr w:type="spellEnd"/>
      <w:r>
        <w:t xml:space="preserve"> Coop. </w:t>
      </w:r>
      <w:proofErr w:type="spellStart"/>
      <w:r>
        <w:t>Soc</w:t>
      </w:r>
      <w:proofErr w:type="spellEnd"/>
      <w:r>
        <w:t xml:space="preserve">. a </w:t>
      </w:r>
      <w:proofErr w:type="spellStart"/>
      <w:r>
        <w:t>r.l</w:t>
      </w:r>
      <w:proofErr w:type="spellEnd"/>
      <w:r>
        <w:t xml:space="preserve">., </w:t>
      </w:r>
      <w:proofErr w:type="spellStart"/>
      <w:r>
        <w:t>controdeducendo</w:t>
      </w:r>
      <w:proofErr w:type="spellEnd"/>
      <w:r>
        <w:t xml:space="preserve"> sul merito delle singole censure ed instando per la reiezione del ricorso.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Con ordinanza 30.6.2016, n. 132 la Sezione ha accolto l</w:t>
      </w:r>
      <w:r>
        <w:t>a domanda incidentale di sospensione dell’esecuzione del provvedimento di aggiudicazione definitiva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Previo scambio delle memorie conclusionali e di replica, alla pubblica udienza del 29 settembre 2016 il ricorso è stato trattenuto dal collegio per la deci</w:t>
      </w:r>
      <w:r>
        <w:t>sione.</w:t>
      </w:r>
    </w:p>
    <w:p w:rsidR="007137BA" w:rsidRDefault="00E04BC9">
      <w:pPr>
        <w:contextualSpacing w:val="0"/>
        <w:jc w:val="center"/>
      </w:pPr>
      <w:r>
        <w:rPr>
          <w:b/>
        </w:rPr>
        <w:t>DIRITTO</w:t>
      </w:r>
    </w:p>
    <w:p w:rsidR="007137BA" w:rsidRDefault="00E04BC9">
      <w:pPr>
        <w:contextualSpacing w:val="0"/>
      </w:pPr>
      <w:r>
        <w:t>Il ricorso è fondato, sotto l’assorbente profilo dedotto con il quarto motivo di ricorso, concernente la genericità del contratto di avvalimento con la Cooperativa Sant’Andrea.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Ai sensi dell’art. 88 del D.P.R. 5.10.2010, n. 207, </w:t>
      </w:r>
      <w:r>
        <w:rPr>
          <w:i/>
        </w:rPr>
        <w:t>“per la qua</w:t>
      </w:r>
      <w:r>
        <w:rPr>
          <w:i/>
        </w:rPr>
        <w:t>lificazione in gara, il contratto di cui all'articolo 49, comma 2, lettera f), del codice deve riportare in modo compiuto, esplicito ed esauriente: a) oggetto: le risorse e i mezzi prestati in modo determinato e specifico </w:t>
      </w:r>
      <w:r>
        <w:t>[…]</w:t>
      </w:r>
      <w:r>
        <w:rPr>
          <w:i/>
        </w:rPr>
        <w:t>”</w:t>
      </w:r>
      <w:r>
        <w:t>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L'esigenza di una puntuale individuazione dell’oggetto del contratto di avvalimento, oltre ad avere un sicuro ancoraggio sul terreno civilistico nella generale previsione </w:t>
      </w:r>
      <w:proofErr w:type="spellStart"/>
      <w:r>
        <w:t>codicistica</w:t>
      </w:r>
      <w:proofErr w:type="spellEnd"/>
      <w:r>
        <w:t xml:space="preserve"> che configura quale causa di nullità di ogni contratto l'indeterminatezza</w:t>
      </w:r>
      <w:r>
        <w:t xml:space="preserve"> ed indeterminabilità del relativo oggetto (art. 1346 cod. civ.), trova la propria essenziale giustificazione funzionale, inscindibilmente connessa alle procedure contrattuali del settore pubblico, nella necessità di non permettere agevoli aggiramenti del </w:t>
      </w:r>
      <w:r>
        <w:t xml:space="preserve">sistema dei requisiti di ingresso alle gare pubbliche (così </w:t>
      </w:r>
      <w:proofErr w:type="spellStart"/>
      <w:r>
        <w:t>Cons</w:t>
      </w:r>
      <w:proofErr w:type="spellEnd"/>
      <w:r>
        <w:t>. di St., III, 29.1.2016, n. 346).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Difatti, elemento essenziale dell'istituto dell'avvalimento è la reale messa a disposizione delle risorse umane e dei beni strumentali occorrenti per la rea</w:t>
      </w:r>
      <w:r>
        <w:t xml:space="preserve">lizzazione dei lavori o dei servizi oggetto di gara, con conseguente obbligo per l'impresa </w:t>
      </w:r>
      <w:proofErr w:type="spellStart"/>
      <w:r>
        <w:t>ausiliata</w:t>
      </w:r>
      <w:proofErr w:type="spellEnd"/>
      <w:r>
        <w:t xml:space="preserve"> di presentare alla stazione appaltante l'elencazione dettagliata dei fattori produttivi, in modo da consentirle di conoscere la consistenza del complesso e</w:t>
      </w:r>
      <w:r>
        <w:t>conomico-finanziario e tecnico-organizzativo offerti in prestito dall'ausiliaria, e di valutare la loro idoneità all'esecuzione dell'opera (</w:t>
      </w:r>
      <w:proofErr w:type="spellStart"/>
      <w:r>
        <w:t>Cons</w:t>
      </w:r>
      <w:proofErr w:type="spellEnd"/>
      <w:r>
        <w:t>. di St., sez. V, 28.9.2015, n. 4507).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E ciò in quanto l'avvalimento, traducendosi in una deroga al principio d</w:t>
      </w:r>
      <w:r>
        <w:t>el possesso dei requisiti di partecipazione da parte del concorrente, impone, anche nelle gare finalizzate all'affidamento di servizi e indipendentemente dal carattere operativo o di garanzia del contratto, l'individuazione delle risorse esterne che giusti</w:t>
      </w:r>
      <w:r>
        <w:t xml:space="preserve">ficano l'applicazione del regime di favore (così </w:t>
      </w:r>
      <w:proofErr w:type="spellStart"/>
      <w:r>
        <w:t>Cons</w:t>
      </w:r>
      <w:proofErr w:type="spellEnd"/>
      <w:r>
        <w:t>. Stato, sez. III, 7 luglio 2015, n. 3390; sez. V 26 maggio 2015, n. 2627).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Ciò chiarito rispetto alla fattispecie astratta, nel caso di specie il contratto di avvalimento tra la Cooperativa Sant’Andrea</w:t>
      </w:r>
      <w:r>
        <w:t xml:space="preserve"> ed il Consorzio </w:t>
      </w:r>
      <w:proofErr w:type="spellStart"/>
      <w:r>
        <w:t>Kursana</w:t>
      </w:r>
      <w:proofErr w:type="spellEnd"/>
      <w:r>
        <w:t xml:space="preserve">, nel prestare al secondo il requisito di un’esperienza gestionale analoga in una R.S.A. con un minimo di 180 posti letto, ha così elencato le risorse e i mezzi prestati: “a) Personale: attività di coordinamento per la struttura di </w:t>
      </w:r>
      <w:r>
        <w:t>gestioni complesse; b) Know How: in particolare il supporto nello sviluppo di procedure gestionali atte all’efficace coordinamento dei servizi socio sanitari assistenziali presso Strutture con una ricettività superiore ai 180 posti letto; c) Sviluppo di pr</w:t>
      </w:r>
      <w:r>
        <w:t>ocedure operative per il controllo della qualità dei servizi prestati per nucleo e singolo ospite” (doc. 18 delle produzioni 28.6.2016 di parte comunale).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Non occorre un particolare sforzo argomentativo per sottolineare la estrema genericità del contratto</w:t>
      </w:r>
      <w:r>
        <w:t>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Esso si limita infatti all’elencazione apodittica di concetti generali e indeterminati nel contenuto, quali la “attività di coordinamento”, il “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” circa le procedure gestionali, le “procedure operative” per il controllo della qualità dei servizi </w:t>
      </w:r>
      <w:r>
        <w:t>prestati, senza riportare in modo compiuto, esplicito ed esauriente, rispetto a ciascuno di essi, le risorse personali e i mezzi prestati in modo determinato e specifico, come impone l’art. 88 del D.P.R. 207/2010 citato.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E così, rispetto al personale non </w:t>
      </w:r>
      <w:r>
        <w:t>è indicato il numero del personale di coordinamento e le corrispondenti qualifiche professionali messo concretamente a disposizione.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Analogamente, non sono indicate né le procedure gestionali, né le procedure di controllo qualità specificamente adottate n</w:t>
      </w:r>
      <w:r>
        <w:t xml:space="preserve">ella RSA Famagosta di Milano e concretamente poste a disposizione del Consorzio di cooperative </w:t>
      </w:r>
      <w:proofErr w:type="spellStart"/>
      <w:r>
        <w:t>Kursana</w:t>
      </w:r>
      <w:proofErr w:type="spellEnd"/>
      <w:r>
        <w:t>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Donde la genericità del contratto di avvalimento, e l’illegittima ammissione alla procedura di gara, in violazione dell’art. 49 del D. </w:t>
      </w:r>
      <w:proofErr w:type="spellStart"/>
      <w:r>
        <w:t>Lgs</w:t>
      </w:r>
      <w:proofErr w:type="spellEnd"/>
      <w:r>
        <w:t>. n. 163/2006</w:t>
      </w:r>
      <w:r>
        <w:t xml:space="preserve"> e dell’art. 88 del D.P.R. n. 207/2010, del Consorzio di cooperative </w:t>
      </w:r>
      <w:proofErr w:type="spellStart"/>
      <w:r>
        <w:t>Kursana</w:t>
      </w:r>
      <w:proofErr w:type="spellEnd"/>
      <w:r>
        <w:t>, che doveva essere escluso per mancanza del relativo requisito di qualificazione.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Le spese di giudizio seguono come di regola la soccombenza, e sono liquidate in dispositivo.</w:t>
      </w:r>
    </w:p>
    <w:p w:rsidR="007137BA" w:rsidRDefault="00E04BC9">
      <w:pPr>
        <w:contextualSpacing w:val="0"/>
        <w:jc w:val="center"/>
      </w:pPr>
      <w:r>
        <w:rPr>
          <w:b/>
        </w:rPr>
        <w:t>P.Q</w:t>
      </w:r>
      <w:r>
        <w:rPr>
          <w:b/>
        </w:rPr>
        <w:t>.M.</w:t>
      </w:r>
    </w:p>
    <w:p w:rsidR="007137BA" w:rsidRDefault="00E04BC9">
      <w:pPr>
        <w:contextualSpacing w:val="0"/>
      </w:pPr>
      <w:r>
        <w:t>Il Tribunale Amministrativo Regionale per la Liguria (Sezione Seconda)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definitivamente pronunciando sul ricorso, come in epigrafe proposto,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Accoglie il ricorso e, per l’effetto, annulla il provvedimento di aggiudicazione definitiva della gara.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Conda</w:t>
      </w:r>
      <w:r>
        <w:t xml:space="preserve">nna il comune di Sanremo e il Consorzio di cooperative </w:t>
      </w:r>
      <w:proofErr w:type="spellStart"/>
      <w:r>
        <w:t>Kursana</w:t>
      </w:r>
      <w:proofErr w:type="spellEnd"/>
      <w:r>
        <w:t xml:space="preserve"> Coop. </w:t>
      </w:r>
      <w:proofErr w:type="spellStart"/>
      <w:r>
        <w:t>Soc</w:t>
      </w:r>
      <w:proofErr w:type="spellEnd"/>
      <w:r>
        <w:t xml:space="preserve">. a </w:t>
      </w:r>
      <w:proofErr w:type="spellStart"/>
      <w:r>
        <w:t>r.l</w:t>
      </w:r>
      <w:proofErr w:type="spellEnd"/>
      <w:r>
        <w:t>. al pagamento, in favore della società ricorrente, delle spese di giudizio, che liquida in € 4.000,00 (quattromila), oltre IVA e CPA, oltre al rimborso del contributo unificato</w:t>
      </w:r>
      <w:r>
        <w:t>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Ordina che la presente sentenza sia eseguita dall'autorità amministrativa.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Così deciso in Genova nella camera di consiglio del giorno 29 settembre 2016 con l'intervento dei magistrati: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Roberto </w:t>
      </w:r>
      <w:proofErr w:type="spellStart"/>
      <w:r>
        <w:t>Pupilella</w:t>
      </w:r>
      <w:proofErr w:type="spellEnd"/>
      <w:r>
        <w:t>, Presidente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 xml:space="preserve">Luca </w:t>
      </w:r>
      <w:proofErr w:type="spellStart"/>
      <w:r>
        <w:t>Morbelli</w:t>
      </w:r>
      <w:proofErr w:type="spellEnd"/>
      <w:r>
        <w:t>, Consigliere</w:t>
      </w:r>
    </w:p>
    <w:p w:rsidR="007137BA" w:rsidRDefault="007137BA">
      <w:pPr>
        <w:contextualSpacing w:val="0"/>
      </w:pPr>
    </w:p>
    <w:p w:rsidR="007137BA" w:rsidRDefault="00E04BC9">
      <w:pPr>
        <w:contextualSpacing w:val="0"/>
      </w:pPr>
      <w:r>
        <w:t>Angelo Vitali, Consigliere, Estensore</w:t>
      </w:r>
    </w:p>
    <w:tbl>
      <w:tblPr>
        <w:tblStyle w:val="a"/>
        <w:tblW w:w="93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13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0" w:type="dxa"/>
            <w:tcMar>
              <w:left w:w="0" w:type="dxa"/>
              <w:right w:w="0" w:type="dxa"/>
            </w:tcMar>
          </w:tcPr>
          <w:p w:rsidR="007137BA" w:rsidRDefault="00E04BC9">
            <w:pPr>
              <w:contextualSpacing w:val="0"/>
              <w:jc w:val="center"/>
            </w:pPr>
            <w:r>
              <w:rPr>
                <w:b/>
              </w:rPr>
              <w:t>L'ESTENSORE</w:t>
            </w:r>
          </w:p>
        </w:tc>
        <w:tc>
          <w:tcPr>
            <w:tcW w:w="3120" w:type="dxa"/>
            <w:tcMar>
              <w:left w:w="0" w:type="dxa"/>
              <w:right w:w="0" w:type="dxa"/>
            </w:tcMar>
          </w:tcPr>
          <w:p w:rsidR="007137BA" w:rsidRDefault="007137BA">
            <w:pPr>
              <w:spacing w:line="276" w:lineRule="auto"/>
              <w:contextualSpacing w:val="0"/>
            </w:pPr>
          </w:p>
        </w:tc>
        <w:tc>
          <w:tcPr>
            <w:tcW w:w="3120" w:type="dxa"/>
            <w:tcMar>
              <w:left w:w="0" w:type="dxa"/>
              <w:right w:w="0" w:type="dxa"/>
            </w:tcMar>
          </w:tcPr>
          <w:p w:rsidR="007137BA" w:rsidRDefault="00E04BC9">
            <w:pPr>
              <w:contextualSpacing w:val="0"/>
              <w:jc w:val="center"/>
            </w:pPr>
            <w:r>
              <w:rPr>
                <w:b/>
              </w:rPr>
              <w:t>IL PRESIDENTE</w:t>
            </w:r>
          </w:p>
        </w:tc>
      </w:tr>
      <w:tr w:rsidR="00713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0" w:type="dxa"/>
            <w:tcMar>
              <w:left w:w="0" w:type="dxa"/>
              <w:right w:w="0" w:type="dxa"/>
            </w:tcMar>
          </w:tcPr>
          <w:p w:rsidR="007137BA" w:rsidRDefault="00E04BC9">
            <w:pPr>
              <w:contextualSpacing w:val="0"/>
              <w:jc w:val="center"/>
            </w:pPr>
            <w:r>
              <w:rPr>
                <w:b/>
              </w:rPr>
              <w:t>Angelo Vitali</w:t>
            </w:r>
          </w:p>
        </w:tc>
        <w:tc>
          <w:tcPr>
            <w:tcW w:w="3120" w:type="dxa"/>
            <w:tcMar>
              <w:left w:w="0" w:type="dxa"/>
              <w:right w:w="0" w:type="dxa"/>
            </w:tcMar>
          </w:tcPr>
          <w:p w:rsidR="007137BA" w:rsidRDefault="007137BA">
            <w:pPr>
              <w:spacing w:line="276" w:lineRule="auto"/>
              <w:contextualSpacing w:val="0"/>
            </w:pPr>
          </w:p>
        </w:tc>
        <w:tc>
          <w:tcPr>
            <w:tcW w:w="3120" w:type="dxa"/>
            <w:tcMar>
              <w:left w:w="0" w:type="dxa"/>
              <w:right w:w="0" w:type="dxa"/>
            </w:tcMar>
          </w:tcPr>
          <w:p w:rsidR="007137BA" w:rsidRDefault="00E04BC9">
            <w:pPr>
              <w:contextualSpacing w:val="0"/>
              <w:jc w:val="center"/>
            </w:pPr>
            <w:r>
              <w:rPr>
                <w:b/>
              </w:rPr>
              <w:t xml:space="preserve">Roberto </w:t>
            </w:r>
            <w:proofErr w:type="spellStart"/>
            <w:r>
              <w:rPr>
                <w:b/>
              </w:rPr>
              <w:t>Pupilella</w:t>
            </w:r>
            <w:proofErr w:type="spellEnd"/>
          </w:p>
        </w:tc>
      </w:tr>
    </w:tbl>
    <w:p w:rsidR="007137BA" w:rsidRDefault="00E04BC9">
      <w:pPr>
        <w:contextualSpacing w:val="0"/>
        <w:jc w:val="center"/>
      </w:pPr>
      <w:r>
        <w:t>IL SEGRETARIO</w:t>
      </w:r>
    </w:p>
    <w:p w:rsidR="007137BA" w:rsidRDefault="00E04BC9">
      <w:pPr>
        <w:contextualSpacing w:val="0"/>
        <w:jc w:val="center"/>
      </w:pPr>
      <w:r>
        <w:pict>
          <v:rect id="_x0000_i1026" style="width:0;height:1.5pt" o:hralign="center" o:hrstd="t" o:hr="t" fillcolor="#a0a0a0" stroked="f"/>
        </w:pict>
      </w:r>
      <w:r>
        <w:rPr>
          <w:sz w:val="14"/>
          <w:szCs w:val="14"/>
        </w:rPr>
        <w:t>www.appaltiecontratti.it</w:t>
      </w:r>
    </w:p>
    <w:sectPr w:rsidR="007137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137BA"/>
    <w:rsid w:val="007137BA"/>
    <w:rsid w:val="00E0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 w:after="24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225" w:after="225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spacing w:before="240" w:after="24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spacing w:before="255" w:after="255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spacing w:before="255" w:after="255"/>
      <w:outlineLvl w:val="4"/>
    </w:pPr>
    <w:rPr>
      <w:b/>
      <w:sz w:val="18"/>
      <w:szCs w:val="18"/>
    </w:rPr>
  </w:style>
  <w:style w:type="paragraph" w:styleId="Titolo6">
    <w:name w:val="heading 6"/>
    <w:basedOn w:val="Normale"/>
    <w:next w:val="Normale"/>
    <w:pPr>
      <w:spacing w:before="360" w:after="360"/>
      <w:outlineLvl w:val="5"/>
    </w:pPr>
    <w:rPr>
      <w:b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 w:after="24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225" w:after="225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spacing w:before="240" w:after="24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spacing w:before="255" w:after="255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spacing w:before="255" w:after="255"/>
      <w:outlineLvl w:val="4"/>
    </w:pPr>
    <w:rPr>
      <w:b/>
      <w:sz w:val="18"/>
      <w:szCs w:val="18"/>
    </w:rPr>
  </w:style>
  <w:style w:type="paragraph" w:styleId="Titolo6">
    <w:name w:val="heading 6"/>
    <w:basedOn w:val="Normale"/>
    <w:next w:val="Normale"/>
    <w:pPr>
      <w:spacing w:before="360" w:after="360"/>
      <w:outlineLvl w:val="5"/>
    </w:pPr>
    <w:rPr>
      <w:b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prof. Maltoni</cp:lastModifiedBy>
  <cp:revision>2</cp:revision>
  <dcterms:created xsi:type="dcterms:W3CDTF">2016-12-24T18:01:00Z</dcterms:created>
  <dcterms:modified xsi:type="dcterms:W3CDTF">2016-12-24T18:01:00Z</dcterms:modified>
</cp:coreProperties>
</file>