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034" w:rsidRPr="00657D58" w:rsidRDefault="00657D58" w:rsidP="00657D58">
      <w:pPr>
        <w:jc w:val="both"/>
        <w:rPr>
          <w:sz w:val="24"/>
          <w:szCs w:val="24"/>
          <w:u w:val="single"/>
        </w:rPr>
      </w:pPr>
      <w:bookmarkStart w:id="0" w:name="_GoBack"/>
      <w:bookmarkEnd w:id="0"/>
      <w:r w:rsidRPr="00657D58">
        <w:rPr>
          <w:b/>
          <w:sz w:val="24"/>
          <w:szCs w:val="24"/>
          <w:u w:val="single"/>
          <w:lang w:val="en-US"/>
        </w:rPr>
        <w:t xml:space="preserve">Art. 34, D.L. n. 179 conv. </w:t>
      </w:r>
      <w:r w:rsidRPr="00657D58">
        <w:rPr>
          <w:b/>
          <w:sz w:val="24"/>
          <w:szCs w:val="24"/>
          <w:u w:val="single"/>
        </w:rPr>
        <w:t>Dalla l. n. 221/2012</w:t>
      </w:r>
      <w:r w:rsidRPr="00657D58">
        <w:rPr>
          <w:sz w:val="24"/>
          <w:szCs w:val="24"/>
          <w:u w:val="single"/>
        </w:rPr>
        <w:t xml:space="preserve"> - Misure urgenti per le attività produttive, le infrastrutture e i trasporti, i servizi pubblici locali, la valorizzazione dei beni culturali ed i comuni</w:t>
      </w:r>
    </w:p>
    <w:p w:rsidR="00657D58" w:rsidRDefault="00657D58" w:rsidP="00657D58">
      <w:pPr>
        <w:jc w:val="both"/>
        <w:rPr>
          <w:sz w:val="24"/>
          <w:szCs w:val="24"/>
        </w:rPr>
      </w:pPr>
    </w:p>
    <w:p w:rsidR="00657D58" w:rsidRPr="00657D58" w:rsidRDefault="00657D58" w:rsidP="00657D58">
      <w:pPr>
        <w:jc w:val="both"/>
        <w:rPr>
          <w:sz w:val="24"/>
          <w:szCs w:val="24"/>
        </w:rPr>
      </w:pPr>
      <w:r w:rsidRPr="00657D58">
        <w:rPr>
          <w:sz w:val="24"/>
          <w:szCs w:val="24"/>
        </w:rPr>
        <w:t xml:space="preserve">20. Per i servizi pubblici locali di rilevanza economica, al fine di assicurare il rispetto della disciplina europea, la parità tra gli operatori, l'economicità della gestione e di garantire adeguata informazione alla collettività di riferimento, l'affidamento del servizio è effettuato sulla base di apposita relazione, pubblicata sul sito internet dell'ente affidante, che dà conto delle ragioni e della sussistenza dei requisiti previsti dall'ordinamento europeo per la forma di affidamento prescelta e che definisce i contenuti specifici degli obblighi di servizio pubblico e servizio universale, indicando le compensazioni economiche se previste. </w:t>
      </w:r>
    </w:p>
    <w:p w:rsidR="00657D58" w:rsidRPr="00657D58" w:rsidRDefault="00657D58" w:rsidP="00657D58">
      <w:pPr>
        <w:jc w:val="both"/>
        <w:rPr>
          <w:sz w:val="24"/>
          <w:szCs w:val="24"/>
        </w:rPr>
      </w:pPr>
    </w:p>
    <w:p w:rsidR="00657D58" w:rsidRPr="00657D58" w:rsidRDefault="00657D58" w:rsidP="00657D58">
      <w:pPr>
        <w:jc w:val="both"/>
        <w:rPr>
          <w:sz w:val="24"/>
          <w:szCs w:val="24"/>
        </w:rPr>
      </w:pPr>
      <w:r w:rsidRPr="00657D58">
        <w:rPr>
          <w:sz w:val="24"/>
          <w:szCs w:val="24"/>
        </w:rPr>
        <w:t xml:space="preserve">21. Gli affidamenti in essere alla data di entrata in vigore del presente decreto non conformi ai requisiti previsti dalla normativa europea devono essere adeguati entro il termine del 31 dicembre 2013 pubblicando, entro la stessa data, la relazione prevista al comma 20. Per gli affidamenti in cui non è prevista una data di scadenza gli enti competenti provvedono contestualmente ad inserire nel contratto di servizio o negli altri atti che regolano il rapporto un termine di scadenza dell'affidamento. Il mancato adempimento degli obblighi previsti nel presente comma determina la cessazione dell'affidamento alla data del 31 dicembre 2013. </w:t>
      </w:r>
    </w:p>
    <w:p w:rsidR="00657D58" w:rsidRPr="00657D58" w:rsidRDefault="00657D58" w:rsidP="00657D58">
      <w:pPr>
        <w:jc w:val="both"/>
        <w:rPr>
          <w:sz w:val="24"/>
          <w:szCs w:val="24"/>
        </w:rPr>
      </w:pPr>
    </w:p>
    <w:p w:rsidR="00657D58" w:rsidRPr="00657D58" w:rsidRDefault="00657D58" w:rsidP="00657D58">
      <w:pPr>
        <w:jc w:val="both"/>
        <w:rPr>
          <w:sz w:val="24"/>
          <w:szCs w:val="24"/>
        </w:rPr>
      </w:pPr>
      <w:r w:rsidRPr="00657D58">
        <w:rPr>
          <w:sz w:val="24"/>
          <w:szCs w:val="24"/>
        </w:rPr>
        <w:t xml:space="preserve">22. Gli affidamenti diretti assentiti alla data del 1° ottobre 2003 a società a partecipazione pubblica già quotate in borsa a tale data, e a quelle da esse controllate ai sensi dell'articolo 2359 del codice civile, cessano alla scadenza prevista nel contratto di servizio o negli altri atti che regolano il rapporto; gli affidamenti che non prevedono una data di scadenza cessano, improrogabilmente e senza necessità di apposita deliberazione dell'ente affidante, il 31 dicembre 2020. </w:t>
      </w:r>
    </w:p>
    <w:p w:rsidR="00657D58" w:rsidRPr="00657D58" w:rsidRDefault="00657D58" w:rsidP="00657D58">
      <w:pPr>
        <w:jc w:val="both"/>
        <w:rPr>
          <w:sz w:val="24"/>
          <w:szCs w:val="24"/>
        </w:rPr>
      </w:pPr>
    </w:p>
    <w:p w:rsidR="00657D58" w:rsidRPr="00657D58" w:rsidRDefault="00657D58" w:rsidP="00657D58">
      <w:pPr>
        <w:jc w:val="both"/>
        <w:rPr>
          <w:sz w:val="24"/>
          <w:szCs w:val="24"/>
        </w:rPr>
      </w:pPr>
      <w:r w:rsidRPr="00657D58">
        <w:rPr>
          <w:sz w:val="24"/>
          <w:szCs w:val="24"/>
        </w:rPr>
        <w:t xml:space="preserve">23. Dopo il comma 1 dell'articolo 3-bis del decreto-legge 13 agosto 2011, n. 138, convertito, con modificazioni, dalla legge 14 settembre 2011, n. 148, e successive modificazioni, è inserito il seguente: «1-bis. Le funzioni di organizzazione dei servizi pubblici locali a rete di rilevanza economica, compresi quelli appartenenti al settore dei rifiuti urbani, di scelta della forma di gestione, di determinazione delle tariffe all'utenza per quanto di competenza, di affidamento della gestione e relativo controllo sono esercitate unicamente dagli enti di governo degli ambiti o bacini territoriali ottimali e omogenei istituiti o designati ai sensi del comma 1 del presente articolo». </w:t>
      </w:r>
    </w:p>
    <w:p w:rsidR="00657D58" w:rsidRPr="00657D58" w:rsidRDefault="00657D58" w:rsidP="00657D58">
      <w:pPr>
        <w:jc w:val="both"/>
        <w:rPr>
          <w:sz w:val="24"/>
          <w:szCs w:val="24"/>
        </w:rPr>
      </w:pPr>
    </w:p>
    <w:p w:rsidR="00657D58" w:rsidRPr="00657D58" w:rsidRDefault="00657D58" w:rsidP="00657D58">
      <w:pPr>
        <w:jc w:val="both"/>
        <w:rPr>
          <w:sz w:val="24"/>
          <w:szCs w:val="24"/>
        </w:rPr>
      </w:pPr>
      <w:r w:rsidRPr="00657D58">
        <w:rPr>
          <w:sz w:val="24"/>
          <w:szCs w:val="24"/>
        </w:rPr>
        <w:t xml:space="preserve">24. All'articolo 53, comma 1, del decreto-legge 22 giugno 2012, n. 83, convertito, con modificazioni, dalla legge 7 agosto 2012, n. 134, la lettera b) è abrogata. </w:t>
      </w:r>
    </w:p>
    <w:p w:rsidR="00657D58" w:rsidRPr="00657D58" w:rsidRDefault="00657D58" w:rsidP="00657D58">
      <w:pPr>
        <w:jc w:val="both"/>
        <w:rPr>
          <w:sz w:val="24"/>
          <w:szCs w:val="24"/>
        </w:rPr>
      </w:pPr>
    </w:p>
    <w:p w:rsidR="00657D58" w:rsidRPr="00657D58" w:rsidRDefault="00657D58" w:rsidP="00657D58">
      <w:pPr>
        <w:jc w:val="both"/>
        <w:rPr>
          <w:sz w:val="24"/>
          <w:szCs w:val="24"/>
        </w:rPr>
      </w:pPr>
      <w:r w:rsidRPr="00657D58">
        <w:rPr>
          <w:sz w:val="24"/>
          <w:szCs w:val="24"/>
        </w:rPr>
        <w:lastRenderedPageBreak/>
        <w:t>25. I commi da 20 a 22 non si applicano al servizio di distribuzione di gas naturale, di cui al decreto legislativo 23 maggio 2000, n. 164, al servizio di distribuzione di energia elettrica, di cui al decreto legislativo 16 marzo 1999, n. 79, e alla legge 23 agosto 2004, n. 239, nonché alla gestione delle farmacie comunali, di cui alla legge 2 aprile 1968, n. 475. Restano inoltre ferme le disposizioni di cui all'articolo 37 del decreto-legge 22 giugno 2012, n. 83, convertito, con modificazioni, dalla legge 7 agosto 2012, n. 134.</w:t>
      </w:r>
    </w:p>
    <w:p w:rsidR="00657D58" w:rsidRPr="00657D58" w:rsidRDefault="00657D58" w:rsidP="00657D58">
      <w:pPr>
        <w:jc w:val="both"/>
        <w:rPr>
          <w:sz w:val="24"/>
          <w:szCs w:val="24"/>
        </w:rPr>
      </w:pPr>
    </w:p>
    <w:p w:rsidR="00657D58" w:rsidRPr="00657D58" w:rsidRDefault="00657D58" w:rsidP="00657D58">
      <w:pPr>
        <w:jc w:val="both"/>
        <w:rPr>
          <w:sz w:val="24"/>
          <w:szCs w:val="24"/>
        </w:rPr>
      </w:pPr>
      <w:r w:rsidRPr="00657D58">
        <w:rPr>
          <w:sz w:val="24"/>
          <w:szCs w:val="24"/>
        </w:rPr>
        <w:t xml:space="preserve">26. Al fine di aumentare la concorrenza nell'ambito delle procedure di affidamento in concessione del servizio di illuminazione votiva, all'articolo unico del decreto del Ministro dell'interno 31 dicembre 1983, pubblicato nella Gazzetta Ufficiale n. 16 del 17 gennaio 1984, al numero 18) sono soppresse le seguenti parole: «e illuminazioni votive». Conseguentemente i comuni, per l'affidamento del servizio di illuminazione votiva, applicano le disposizioni di cui al decreto legislativo n. 163 del 2006, e in particolare l'articolo 30 e, qualora ne ricorrano le condizioni, l'articolo 125. </w:t>
      </w:r>
    </w:p>
    <w:p w:rsidR="00657D58" w:rsidRPr="00657D58" w:rsidRDefault="00657D58" w:rsidP="00657D58">
      <w:pPr>
        <w:jc w:val="both"/>
        <w:rPr>
          <w:sz w:val="24"/>
          <w:szCs w:val="24"/>
        </w:rPr>
      </w:pPr>
    </w:p>
    <w:p w:rsidR="00657D58" w:rsidRPr="00657D58" w:rsidRDefault="00657D58" w:rsidP="00657D58">
      <w:pPr>
        <w:jc w:val="both"/>
        <w:rPr>
          <w:sz w:val="24"/>
          <w:szCs w:val="24"/>
        </w:rPr>
      </w:pPr>
      <w:r w:rsidRPr="00657D58">
        <w:rPr>
          <w:sz w:val="24"/>
          <w:szCs w:val="24"/>
        </w:rPr>
        <w:t xml:space="preserve">27. All'articolo 4, comma 8, del decreto-legge 6 luglio 2012, n. 95, convertito con modificazioni, dalla legge 7 agosto 2012, n. 135, le parole: «e a condizione che il valore economico del servizio o dei beni oggetto dell'affidamento sia complessivamente pari o inferiore a 200.000 euro annui» sono soppresse. </w:t>
      </w:r>
    </w:p>
    <w:p w:rsidR="00657D58" w:rsidRPr="00657D58" w:rsidRDefault="00657D58" w:rsidP="00657D58">
      <w:pPr>
        <w:jc w:val="both"/>
        <w:rPr>
          <w:sz w:val="24"/>
          <w:szCs w:val="24"/>
        </w:rPr>
      </w:pPr>
    </w:p>
    <w:p w:rsidR="00657D58" w:rsidRPr="00657D58" w:rsidRDefault="00657D58" w:rsidP="00657D58">
      <w:pPr>
        <w:jc w:val="both"/>
        <w:rPr>
          <w:sz w:val="24"/>
          <w:szCs w:val="24"/>
        </w:rPr>
      </w:pPr>
      <w:r w:rsidRPr="00657D58">
        <w:rPr>
          <w:sz w:val="24"/>
          <w:szCs w:val="24"/>
        </w:rPr>
        <w:t xml:space="preserve">28. All'articolo 1 del decreto legislativo 11 febbraio 2010, n. 22, dopo il comma 3-bis, è inserito il seguente: «3-bis.1. Agli impianti pilota di cui al comma 3-bis, che per il migliore sfruttamento ai fini sperimentali del fluido geotermico necessitano di una maggiore potenza nominale installata al fine di mantenere il fluido geotermico allo stato liquido, il limite di 5 MW è determinato in funzione dell'energia immessa nel sistema elettrico». </w:t>
      </w:r>
    </w:p>
    <w:p w:rsidR="00657D58" w:rsidRPr="00657D58" w:rsidRDefault="00657D58" w:rsidP="00657D58">
      <w:pPr>
        <w:jc w:val="both"/>
        <w:rPr>
          <w:sz w:val="24"/>
          <w:szCs w:val="24"/>
        </w:rPr>
      </w:pPr>
    </w:p>
    <w:p w:rsidR="00657D58" w:rsidRPr="00657D58" w:rsidRDefault="00657D58" w:rsidP="00657D58">
      <w:pPr>
        <w:jc w:val="both"/>
        <w:rPr>
          <w:sz w:val="24"/>
          <w:szCs w:val="24"/>
        </w:rPr>
      </w:pPr>
      <w:r w:rsidRPr="00657D58">
        <w:rPr>
          <w:sz w:val="24"/>
          <w:szCs w:val="24"/>
        </w:rPr>
        <w:t xml:space="preserve">29. All'articolo 154 del decreto legislativo 3 aprile 2006, n. 152, il comma 4 è sostituito dal seguente: «4. Il soggetto competente, al fine della redazione del piano economico- finanziario di cui all'articolo 149, comma 1, lettera d), predispone la tariffa di base, nell'osservanza del metodo tariffario di cui all'articolo 10, comma 14, lettera d), del decreto-legge 13 maggio 2011, n. 70, convertito, con modificazioni, dalla legge 12 luglio 2011, n. 106, e la trasmette per l'approvazione all'Autorità per l'energia elettrica e il gas». </w:t>
      </w:r>
    </w:p>
    <w:p w:rsidR="00657D58" w:rsidRPr="00657D58" w:rsidRDefault="00657D58" w:rsidP="00657D58">
      <w:pPr>
        <w:jc w:val="both"/>
        <w:rPr>
          <w:sz w:val="24"/>
          <w:szCs w:val="24"/>
        </w:rPr>
      </w:pPr>
    </w:p>
    <w:p w:rsidR="00657D58" w:rsidRPr="00657D58" w:rsidRDefault="00657D58" w:rsidP="00657D58">
      <w:pPr>
        <w:jc w:val="both"/>
        <w:rPr>
          <w:sz w:val="24"/>
          <w:szCs w:val="24"/>
        </w:rPr>
      </w:pPr>
      <w:r w:rsidRPr="00657D58">
        <w:rPr>
          <w:sz w:val="24"/>
          <w:szCs w:val="24"/>
        </w:rPr>
        <w:t xml:space="preserve">30. All'articolo 2, comma 4, del decreto-legge 25 gennaio 2012, n. 2, convertito, con modificazioni, dalla legge 24 marzo 2012, n. 28, le parole: «A decorrere dal 31 dicembre 2013,» sono sostituite </w:t>
      </w:r>
      <w:r w:rsidRPr="00657D58">
        <w:rPr>
          <w:sz w:val="24"/>
          <w:szCs w:val="24"/>
        </w:rPr>
        <w:lastRenderedPageBreak/>
        <w:t>dalle seguenti: «A decorrere dal sessantesimo giorno dall'emanazione dei decreti di natura non regolamentare di cui al comma 2».</w:t>
      </w:r>
    </w:p>
    <w:sectPr w:rsidR="00657D58" w:rsidRPr="00657D5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839"/>
    <w:rsid w:val="004B3839"/>
    <w:rsid w:val="00657D58"/>
    <w:rsid w:val="00C46E72"/>
    <w:rsid w:val="00D900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837</Words>
  <Characters>4772</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prof. Maltoni</cp:lastModifiedBy>
  <cp:revision>2</cp:revision>
  <dcterms:created xsi:type="dcterms:W3CDTF">2018-01-04T09:31:00Z</dcterms:created>
  <dcterms:modified xsi:type="dcterms:W3CDTF">2018-01-04T09:31:00Z</dcterms:modified>
</cp:coreProperties>
</file>