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1" w:rsidRDefault="00130D86" w:rsidP="00130D86">
      <w:pPr>
        <w:jc w:val="center"/>
        <w:rPr>
          <w:lang w:val="it-IT"/>
        </w:rPr>
      </w:pPr>
      <w:r w:rsidRPr="00130D86">
        <w:rPr>
          <w:b/>
          <w:lang w:val="it-IT"/>
        </w:rPr>
        <w:t>Diritto internazionale</w:t>
      </w:r>
      <w:r>
        <w:rPr>
          <w:lang w:val="it-IT"/>
        </w:rPr>
        <w:t xml:space="preserve"> (12 crediti)</w:t>
      </w:r>
    </w:p>
    <w:p w:rsidR="00130D86" w:rsidRDefault="00130D86" w:rsidP="00130D86">
      <w:pPr>
        <w:jc w:val="center"/>
        <w:rPr>
          <w:lang w:val="it-IT"/>
        </w:rPr>
      </w:pPr>
      <w:r>
        <w:rPr>
          <w:lang w:val="it-IT"/>
        </w:rPr>
        <w:t>(sede di Rovigo)</w:t>
      </w:r>
    </w:p>
    <w:p w:rsidR="00130D86" w:rsidRDefault="00130D86" w:rsidP="00130D86">
      <w:pPr>
        <w:jc w:val="center"/>
        <w:rPr>
          <w:lang w:val="it-IT"/>
        </w:rPr>
      </w:pPr>
      <w:r>
        <w:rPr>
          <w:lang w:val="it-IT"/>
        </w:rPr>
        <w:t>Prof.ssa Serena Forlati</w:t>
      </w:r>
    </w:p>
    <w:p w:rsidR="00130D86" w:rsidRDefault="00130D86" w:rsidP="00130D86">
      <w:pPr>
        <w:jc w:val="center"/>
        <w:rPr>
          <w:lang w:val="it-IT"/>
        </w:rPr>
      </w:pPr>
    </w:p>
    <w:p w:rsidR="00130D86" w:rsidRDefault="00130D86" w:rsidP="00130D86">
      <w:pPr>
        <w:rPr>
          <w:lang w:val="it-IT"/>
        </w:rPr>
      </w:pPr>
      <w:r>
        <w:rPr>
          <w:lang w:val="it-IT"/>
        </w:rPr>
        <w:t xml:space="preserve">Il corso si divide in due parti: la prima è dedicata al Diritto internazionale pubblico, la seconda costituisce un’introduzione al Diritto internazionale privato e processuale. </w:t>
      </w:r>
    </w:p>
    <w:p w:rsidR="00130D86" w:rsidRDefault="00130D86" w:rsidP="00130D86">
      <w:pPr>
        <w:ind w:firstLine="0"/>
        <w:rPr>
          <w:lang w:val="it-IT"/>
        </w:rPr>
      </w:pPr>
    </w:p>
    <w:p w:rsidR="00130D86" w:rsidRDefault="00130D86" w:rsidP="00130D86">
      <w:pPr>
        <w:ind w:firstLine="0"/>
        <w:rPr>
          <w:lang w:val="it-IT"/>
        </w:rPr>
      </w:pPr>
      <w:r>
        <w:rPr>
          <w:lang w:val="it-IT"/>
        </w:rPr>
        <w:t>Parte I- DIRITTO INTERNAZIONALE PUBBLICO</w:t>
      </w:r>
    </w:p>
    <w:p w:rsidR="00130D86" w:rsidRDefault="00130D86" w:rsidP="00130D86">
      <w:pPr>
        <w:pStyle w:val="Paragrafoelenco"/>
        <w:numPr>
          <w:ilvl w:val="0"/>
          <w:numId w:val="1"/>
        </w:numPr>
        <w:rPr>
          <w:lang w:val="it-IT"/>
        </w:rPr>
      </w:pPr>
      <w:r w:rsidRPr="00130D86">
        <w:rPr>
          <w:b/>
          <w:lang w:val="it-IT"/>
        </w:rPr>
        <w:t>Struttura e caratteri dell’ordinamento internazionale</w:t>
      </w:r>
      <w:r>
        <w:rPr>
          <w:lang w:val="it-IT"/>
        </w:rPr>
        <w:t xml:space="preserve">. </w:t>
      </w:r>
    </w:p>
    <w:p w:rsidR="00130D86" w:rsidRDefault="00130D86" w:rsidP="00130D86">
      <w:pPr>
        <w:pStyle w:val="Paragrafoelenco"/>
        <w:numPr>
          <w:ilvl w:val="0"/>
          <w:numId w:val="1"/>
        </w:numPr>
        <w:rPr>
          <w:lang w:val="it-IT"/>
        </w:rPr>
      </w:pPr>
      <w:r w:rsidRPr="00130D86">
        <w:rPr>
          <w:b/>
          <w:lang w:val="it-IT"/>
        </w:rPr>
        <w:t>I soggetti</w:t>
      </w:r>
      <w:r>
        <w:rPr>
          <w:lang w:val="it-IT"/>
        </w:rPr>
        <w:t xml:space="preserve">: lo Stato; elementi costitutivi, modificativi ed estintivi della personalità giuridica internazionale. Il ruolo del riconoscimento. Diritto internazionale e assetto costituzionale dello stato: il “diritto alla democrazia”, la protezione delle minoranze. Gli insorti. Le organizzazioni internazionali, in particolare l’ONU; personalità giuridica, struttura, funzioni. I popoli e il diritto all’autodeterminazione. La posizione dell’individuo. </w:t>
      </w:r>
    </w:p>
    <w:p w:rsidR="00130D86" w:rsidRPr="00EA4A57" w:rsidRDefault="00130D86" w:rsidP="00130D86">
      <w:pPr>
        <w:pStyle w:val="Paragrafoelenco"/>
        <w:numPr>
          <w:ilvl w:val="0"/>
          <w:numId w:val="1"/>
        </w:numPr>
        <w:rPr>
          <w:b/>
          <w:lang w:val="it-IT"/>
        </w:rPr>
      </w:pPr>
      <w:r w:rsidRPr="00130D86">
        <w:rPr>
          <w:b/>
          <w:lang w:val="it-IT"/>
        </w:rPr>
        <w:t>Le</w:t>
      </w:r>
      <w:r>
        <w:rPr>
          <w:lang w:val="it-IT"/>
        </w:rPr>
        <w:t xml:space="preserve"> </w:t>
      </w:r>
      <w:r w:rsidRPr="00130D86">
        <w:rPr>
          <w:b/>
          <w:lang w:val="it-IT"/>
        </w:rPr>
        <w:t>fonti</w:t>
      </w:r>
      <w:r>
        <w:rPr>
          <w:lang w:val="it-IT"/>
        </w:rPr>
        <w:t xml:space="preserve">: </w:t>
      </w:r>
      <w:r w:rsidR="00EA4A57">
        <w:rPr>
          <w:lang w:val="it-IT"/>
        </w:rPr>
        <w:t xml:space="preserve">La consuetudine. Elementi costitutivi: prassi e opinio iuris. Modalità di ricostruzione: in particolare, la codificazione del diritto internazionale. Le norme imperative. I trattati: procedimenti di formazione; cause di invalidità; le riserve; l’interpretazione dei trattati; cause di estinzione; modalità per far valere l’invalidità e l’estinzione dei trattati. La successione nei trattati. I principi generali di diritto. Gli atti unilaterali. Le fonti derivate. </w:t>
      </w:r>
    </w:p>
    <w:p w:rsidR="00EA4A57" w:rsidRPr="004A0C08" w:rsidRDefault="00EA4A57" w:rsidP="00130D86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>Il contenuto delle norme internazionali</w:t>
      </w:r>
      <w:r w:rsidRPr="00EA4A57">
        <w:rPr>
          <w:lang w:val="it-IT"/>
        </w:rPr>
        <w:t>:</w:t>
      </w:r>
      <w:r>
        <w:rPr>
          <w:lang w:val="it-IT"/>
        </w:rPr>
        <w:t xml:space="preserve"> La sovranità territoriale. Il divieto dell’uso della forza e le relative eccezioni: il sistema di sicurezza collettiva ONU e il diritto di legittima difesa; eventuali altre eccezioni al divieto. Il diritto umanitario (cenni). Divieto di ingerenza negli affari interni. Immunità dello Stato e dei suoi organi; in particolare, il trattamento dovuto ai diplomatici e agli agenti consolari. Il trattamento degli stranieri e la protezione diplomatica. La protezione internazionale dei diritti umani. </w:t>
      </w:r>
      <w:r w:rsidR="004A0C08">
        <w:rPr>
          <w:lang w:val="it-IT"/>
        </w:rPr>
        <w:t xml:space="preserve">La protezione degli investimenti. La cooperazione internazionale: in particolare, la cooperazione giudiziaria internazionale; il diritto del commercio internazionale. Il diritto del mare: in particolare, la Convenzione delle Nazioni unite per il diritto del mare. Le zone polari. </w:t>
      </w:r>
    </w:p>
    <w:p w:rsidR="004A0C08" w:rsidRPr="004A0C08" w:rsidRDefault="004A0C08" w:rsidP="00130D86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>Il diritto della responsabilità internazionale</w:t>
      </w:r>
      <w:r>
        <w:rPr>
          <w:lang w:val="it-IT"/>
        </w:rPr>
        <w:t xml:space="preserve">. La codificazione del diritto della responsabilità. Elemento soggettivo ed oggettivo dell’illecito. Le cause di giustificazione. Conseguenze dell’illecito. In particolare, le contromisure. Le conseguenze delle violazioni di obblighi </w:t>
      </w:r>
      <w:r>
        <w:rPr>
          <w:i/>
          <w:lang w:val="it-IT"/>
        </w:rPr>
        <w:t xml:space="preserve">erga omnes </w:t>
      </w:r>
      <w:r>
        <w:rPr>
          <w:lang w:val="it-IT"/>
        </w:rPr>
        <w:t xml:space="preserve">ed il regime di responsabilità aggravata per violazioni gravi di norme imperative. </w:t>
      </w:r>
    </w:p>
    <w:p w:rsidR="004A0C08" w:rsidRPr="004A0C08" w:rsidRDefault="004A0C08" w:rsidP="00130D86">
      <w:pPr>
        <w:pStyle w:val="Paragrafoelenco"/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 xml:space="preserve">La soluzione delle controversie internazionali. </w:t>
      </w:r>
      <w:r>
        <w:rPr>
          <w:lang w:val="it-IT"/>
        </w:rPr>
        <w:t>L’obbligo di soluzione pacifica delle controversie. Mezzi diplomatici e mezzi giurisdizionali di soluzione. In particolare, la Corte internazionale di giustizia: competenza consultiva e contenziosa. Effetti delle decisioni e loro attuazione.</w:t>
      </w:r>
    </w:p>
    <w:p w:rsidR="004A0C08" w:rsidRDefault="004A0C08" w:rsidP="004A0C08">
      <w:pPr>
        <w:rPr>
          <w:lang w:val="it-IT"/>
        </w:rPr>
      </w:pPr>
    </w:p>
    <w:p w:rsidR="004A0C08" w:rsidRPr="004A0C08" w:rsidRDefault="004A0C08" w:rsidP="004A0C08">
      <w:pPr>
        <w:rPr>
          <w:b/>
          <w:lang w:val="it-IT"/>
        </w:rPr>
      </w:pPr>
      <w:r>
        <w:rPr>
          <w:lang w:val="it-IT"/>
        </w:rPr>
        <w:lastRenderedPageBreak/>
        <w:t xml:space="preserve">Parte II- INTRODUZIONE AL DIRITTO INTERNAZIONALE PRIVATO E PROCESSUALE: nozione e funzioni del Diritto internazionale privato. </w:t>
      </w:r>
      <w:r w:rsidR="007521CF">
        <w:rPr>
          <w:lang w:val="it-IT"/>
        </w:rPr>
        <w:t xml:space="preserve">Fonti normative rilevanti e loro coordinamento. Criteri di collegamento e titoli di giurisdizione. Le questioni generali del diritto internazionale privato: in particolare, la qualificazione; le questioni preliminari; il rinvio; le modalità di accertamento del diritto straniero ed i limiti alla sua applicazione (norme di applicazione necessaria, ordine pubblico). Gli ordinamenti plurilegislativi. </w:t>
      </w:r>
      <w:r w:rsidR="00C04FB2">
        <w:rPr>
          <w:lang w:val="it-IT"/>
        </w:rPr>
        <w:t xml:space="preserve">Il criterio della cittadinanza. </w:t>
      </w:r>
    </w:p>
    <w:p w:rsidR="004A0C08" w:rsidRDefault="004A0C08" w:rsidP="007521CF">
      <w:pPr>
        <w:ind w:firstLine="0"/>
        <w:rPr>
          <w:b/>
          <w:lang w:val="it-IT"/>
        </w:rPr>
      </w:pPr>
    </w:p>
    <w:p w:rsidR="007521CF" w:rsidRDefault="007521CF" w:rsidP="007521CF">
      <w:pPr>
        <w:ind w:firstLine="0"/>
        <w:rPr>
          <w:lang w:val="it-IT"/>
        </w:rPr>
      </w:pPr>
      <w:r>
        <w:rPr>
          <w:b/>
          <w:lang w:val="it-IT"/>
        </w:rPr>
        <w:t xml:space="preserve">Il programma d’esame è costituito da: </w:t>
      </w:r>
    </w:p>
    <w:p w:rsidR="007521CF" w:rsidRDefault="007521CF" w:rsidP="007521CF">
      <w:pPr>
        <w:ind w:firstLine="0"/>
        <w:rPr>
          <w:lang w:val="it-IT"/>
        </w:rPr>
      </w:pPr>
      <w:r>
        <w:rPr>
          <w:lang w:val="it-IT"/>
        </w:rPr>
        <w:t xml:space="preserve">F. Salerno, </w:t>
      </w:r>
      <w:r>
        <w:rPr>
          <w:i/>
          <w:lang w:val="it-IT"/>
        </w:rPr>
        <w:t>Diritto internazionale – Principi e norme</w:t>
      </w:r>
      <w:r>
        <w:rPr>
          <w:lang w:val="it-IT"/>
        </w:rPr>
        <w:t xml:space="preserve">, 2a ed., Padova, Cedam, 2011; </w:t>
      </w:r>
    </w:p>
    <w:p w:rsidR="007521CF" w:rsidRPr="007521CF" w:rsidRDefault="007521CF" w:rsidP="007521CF">
      <w:pPr>
        <w:ind w:firstLine="0"/>
        <w:rPr>
          <w:lang w:val="it-IT"/>
        </w:rPr>
      </w:pPr>
      <w:r>
        <w:rPr>
          <w:lang w:val="it-IT"/>
        </w:rPr>
        <w:t xml:space="preserve">F. Mosconi, C. Campiglio, </w:t>
      </w:r>
      <w:r>
        <w:rPr>
          <w:i/>
          <w:lang w:val="it-IT"/>
        </w:rPr>
        <w:t>Diritto internazionale privato – parte generale, obbligazioni e contratti</w:t>
      </w:r>
      <w:r>
        <w:rPr>
          <w:lang w:val="it-IT"/>
        </w:rPr>
        <w:t xml:space="preserve">, 4a ed., Utet, Torino, 2010, capitoli I, III, IV. </w:t>
      </w:r>
    </w:p>
    <w:p w:rsidR="004A0C08" w:rsidRPr="00130D86" w:rsidRDefault="004A0C08" w:rsidP="004A0C08">
      <w:pPr>
        <w:pStyle w:val="Paragrafoelenco"/>
        <w:ind w:firstLine="0"/>
        <w:rPr>
          <w:b/>
          <w:lang w:val="it-IT"/>
        </w:rPr>
      </w:pPr>
    </w:p>
    <w:sectPr w:rsidR="004A0C08" w:rsidRPr="00130D86" w:rsidSect="00C469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149B"/>
    <w:multiLevelType w:val="hybridMultilevel"/>
    <w:tmpl w:val="B5B0B0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30D86"/>
    <w:rsid w:val="000050E5"/>
    <w:rsid w:val="00005EAA"/>
    <w:rsid w:val="0000621B"/>
    <w:rsid w:val="00021D6F"/>
    <w:rsid w:val="0002363E"/>
    <w:rsid w:val="0002542A"/>
    <w:rsid w:val="0002569E"/>
    <w:rsid w:val="00025B0C"/>
    <w:rsid w:val="00031C13"/>
    <w:rsid w:val="00042F36"/>
    <w:rsid w:val="00044738"/>
    <w:rsid w:val="00052A1A"/>
    <w:rsid w:val="000614B2"/>
    <w:rsid w:val="00062DA9"/>
    <w:rsid w:val="00074E4C"/>
    <w:rsid w:val="00075CB5"/>
    <w:rsid w:val="000777F1"/>
    <w:rsid w:val="00086627"/>
    <w:rsid w:val="00092846"/>
    <w:rsid w:val="000A0320"/>
    <w:rsid w:val="000B0EFA"/>
    <w:rsid w:val="000B5E51"/>
    <w:rsid w:val="000C2D59"/>
    <w:rsid w:val="000D5F01"/>
    <w:rsid w:val="000F7082"/>
    <w:rsid w:val="000F72C8"/>
    <w:rsid w:val="00101B17"/>
    <w:rsid w:val="00105584"/>
    <w:rsid w:val="001120D3"/>
    <w:rsid w:val="001124C4"/>
    <w:rsid w:val="00113AE9"/>
    <w:rsid w:val="0012225E"/>
    <w:rsid w:val="00130D86"/>
    <w:rsid w:val="00136100"/>
    <w:rsid w:val="00144298"/>
    <w:rsid w:val="001473A7"/>
    <w:rsid w:val="00156FAB"/>
    <w:rsid w:val="00183565"/>
    <w:rsid w:val="001852FB"/>
    <w:rsid w:val="0019305D"/>
    <w:rsid w:val="001A20BC"/>
    <w:rsid w:val="001D005C"/>
    <w:rsid w:val="001E3EDC"/>
    <w:rsid w:val="001E6A28"/>
    <w:rsid w:val="00200BC9"/>
    <w:rsid w:val="00203ED5"/>
    <w:rsid w:val="002127DA"/>
    <w:rsid w:val="00217DF6"/>
    <w:rsid w:val="00221E52"/>
    <w:rsid w:val="002358B4"/>
    <w:rsid w:val="00236B79"/>
    <w:rsid w:val="0024035B"/>
    <w:rsid w:val="00244556"/>
    <w:rsid w:val="00254145"/>
    <w:rsid w:val="00262A11"/>
    <w:rsid w:val="0027268A"/>
    <w:rsid w:val="00282FFD"/>
    <w:rsid w:val="002830FB"/>
    <w:rsid w:val="002A0A26"/>
    <w:rsid w:val="002A2591"/>
    <w:rsid w:val="002B5FBA"/>
    <w:rsid w:val="002B646D"/>
    <w:rsid w:val="002C0139"/>
    <w:rsid w:val="002E524F"/>
    <w:rsid w:val="00304793"/>
    <w:rsid w:val="003057DC"/>
    <w:rsid w:val="003060EA"/>
    <w:rsid w:val="003071C4"/>
    <w:rsid w:val="00317067"/>
    <w:rsid w:val="0032033D"/>
    <w:rsid w:val="00324AFC"/>
    <w:rsid w:val="00334F18"/>
    <w:rsid w:val="003469C3"/>
    <w:rsid w:val="003500BE"/>
    <w:rsid w:val="0035193B"/>
    <w:rsid w:val="003556F8"/>
    <w:rsid w:val="0036392E"/>
    <w:rsid w:val="003661E7"/>
    <w:rsid w:val="00366C39"/>
    <w:rsid w:val="003726AA"/>
    <w:rsid w:val="00377A22"/>
    <w:rsid w:val="00386955"/>
    <w:rsid w:val="00386E10"/>
    <w:rsid w:val="003949C7"/>
    <w:rsid w:val="003957E2"/>
    <w:rsid w:val="00397251"/>
    <w:rsid w:val="003A136E"/>
    <w:rsid w:val="003A42C3"/>
    <w:rsid w:val="003B0D32"/>
    <w:rsid w:val="003B65F2"/>
    <w:rsid w:val="003C00A1"/>
    <w:rsid w:val="003C0B25"/>
    <w:rsid w:val="003C50D9"/>
    <w:rsid w:val="003D2D60"/>
    <w:rsid w:val="003F3393"/>
    <w:rsid w:val="003F4871"/>
    <w:rsid w:val="00422183"/>
    <w:rsid w:val="00424C3E"/>
    <w:rsid w:val="004267CC"/>
    <w:rsid w:val="00430925"/>
    <w:rsid w:val="00430F32"/>
    <w:rsid w:val="00437ACE"/>
    <w:rsid w:val="00445EB4"/>
    <w:rsid w:val="00451926"/>
    <w:rsid w:val="00457664"/>
    <w:rsid w:val="004723DA"/>
    <w:rsid w:val="00472B39"/>
    <w:rsid w:val="004736BE"/>
    <w:rsid w:val="004A0259"/>
    <w:rsid w:val="004A0C08"/>
    <w:rsid w:val="004A4E5C"/>
    <w:rsid w:val="004A5A5A"/>
    <w:rsid w:val="004B0E16"/>
    <w:rsid w:val="004B3508"/>
    <w:rsid w:val="004B6BB8"/>
    <w:rsid w:val="004D2F2C"/>
    <w:rsid w:val="004D2F7A"/>
    <w:rsid w:val="004D4AF4"/>
    <w:rsid w:val="004D5B1E"/>
    <w:rsid w:val="004D797D"/>
    <w:rsid w:val="004D7ED3"/>
    <w:rsid w:val="004E2F88"/>
    <w:rsid w:val="004F4B8C"/>
    <w:rsid w:val="00506C70"/>
    <w:rsid w:val="0050756E"/>
    <w:rsid w:val="00525956"/>
    <w:rsid w:val="00536A69"/>
    <w:rsid w:val="00557B89"/>
    <w:rsid w:val="00571285"/>
    <w:rsid w:val="00571709"/>
    <w:rsid w:val="00573D31"/>
    <w:rsid w:val="00574533"/>
    <w:rsid w:val="00574934"/>
    <w:rsid w:val="005773D2"/>
    <w:rsid w:val="0059000B"/>
    <w:rsid w:val="005B1BD4"/>
    <w:rsid w:val="005B1F56"/>
    <w:rsid w:val="005C4D09"/>
    <w:rsid w:val="005C7DE9"/>
    <w:rsid w:val="005D4DB9"/>
    <w:rsid w:val="005D5170"/>
    <w:rsid w:val="005D797B"/>
    <w:rsid w:val="005E02E2"/>
    <w:rsid w:val="005E05AE"/>
    <w:rsid w:val="005E1BDF"/>
    <w:rsid w:val="006036BA"/>
    <w:rsid w:val="0062447A"/>
    <w:rsid w:val="006367D3"/>
    <w:rsid w:val="00641059"/>
    <w:rsid w:val="00662D13"/>
    <w:rsid w:val="0066455A"/>
    <w:rsid w:val="00664E6E"/>
    <w:rsid w:val="006703F5"/>
    <w:rsid w:val="00676F0E"/>
    <w:rsid w:val="006817AD"/>
    <w:rsid w:val="006856B2"/>
    <w:rsid w:val="00696D04"/>
    <w:rsid w:val="006A2D12"/>
    <w:rsid w:val="006C104B"/>
    <w:rsid w:val="006C24D4"/>
    <w:rsid w:val="006C2DF2"/>
    <w:rsid w:val="006C3470"/>
    <w:rsid w:val="006C672D"/>
    <w:rsid w:val="006C6D5F"/>
    <w:rsid w:val="006D0644"/>
    <w:rsid w:val="006D4945"/>
    <w:rsid w:val="006E72CD"/>
    <w:rsid w:val="007011E3"/>
    <w:rsid w:val="00705C0E"/>
    <w:rsid w:val="00707646"/>
    <w:rsid w:val="00712B1D"/>
    <w:rsid w:val="00721DF7"/>
    <w:rsid w:val="0073579F"/>
    <w:rsid w:val="00736C33"/>
    <w:rsid w:val="007521CF"/>
    <w:rsid w:val="00752A2E"/>
    <w:rsid w:val="00761C38"/>
    <w:rsid w:val="00766122"/>
    <w:rsid w:val="0078266C"/>
    <w:rsid w:val="00784915"/>
    <w:rsid w:val="007878BA"/>
    <w:rsid w:val="00790D99"/>
    <w:rsid w:val="00791492"/>
    <w:rsid w:val="00796FD7"/>
    <w:rsid w:val="007A0F25"/>
    <w:rsid w:val="007A3585"/>
    <w:rsid w:val="007B4DBE"/>
    <w:rsid w:val="007C113A"/>
    <w:rsid w:val="007D2640"/>
    <w:rsid w:val="007F3A07"/>
    <w:rsid w:val="0080331C"/>
    <w:rsid w:val="00827FAC"/>
    <w:rsid w:val="0084093E"/>
    <w:rsid w:val="00853F8D"/>
    <w:rsid w:val="0087050B"/>
    <w:rsid w:val="0087465A"/>
    <w:rsid w:val="00874AC1"/>
    <w:rsid w:val="00880D41"/>
    <w:rsid w:val="0088625C"/>
    <w:rsid w:val="008977EA"/>
    <w:rsid w:val="008C02E9"/>
    <w:rsid w:val="008D1862"/>
    <w:rsid w:val="008E0BCE"/>
    <w:rsid w:val="008E525C"/>
    <w:rsid w:val="009027A7"/>
    <w:rsid w:val="00902E85"/>
    <w:rsid w:val="00903D95"/>
    <w:rsid w:val="0092362C"/>
    <w:rsid w:val="009242E4"/>
    <w:rsid w:val="00943296"/>
    <w:rsid w:val="0094508F"/>
    <w:rsid w:val="00947247"/>
    <w:rsid w:val="0095067B"/>
    <w:rsid w:val="0095275B"/>
    <w:rsid w:val="009646E5"/>
    <w:rsid w:val="00964C13"/>
    <w:rsid w:val="00974410"/>
    <w:rsid w:val="0097773E"/>
    <w:rsid w:val="00984D50"/>
    <w:rsid w:val="009A2CDB"/>
    <w:rsid w:val="009A3201"/>
    <w:rsid w:val="009A4EB5"/>
    <w:rsid w:val="009B1087"/>
    <w:rsid w:val="009E306A"/>
    <w:rsid w:val="009F1C8F"/>
    <w:rsid w:val="009F3B1B"/>
    <w:rsid w:val="00A21927"/>
    <w:rsid w:val="00A24305"/>
    <w:rsid w:val="00A25775"/>
    <w:rsid w:val="00A3431A"/>
    <w:rsid w:val="00A401F6"/>
    <w:rsid w:val="00A46E8C"/>
    <w:rsid w:val="00A639D4"/>
    <w:rsid w:val="00A64197"/>
    <w:rsid w:val="00A671B3"/>
    <w:rsid w:val="00A7408E"/>
    <w:rsid w:val="00A86FBE"/>
    <w:rsid w:val="00A916D7"/>
    <w:rsid w:val="00A931E7"/>
    <w:rsid w:val="00AB02B3"/>
    <w:rsid w:val="00AB7852"/>
    <w:rsid w:val="00AC132A"/>
    <w:rsid w:val="00AC32F4"/>
    <w:rsid w:val="00AD53B6"/>
    <w:rsid w:val="00AD72BF"/>
    <w:rsid w:val="00AE067F"/>
    <w:rsid w:val="00AE7DFA"/>
    <w:rsid w:val="00B07D2E"/>
    <w:rsid w:val="00B112ED"/>
    <w:rsid w:val="00B1386C"/>
    <w:rsid w:val="00B352A5"/>
    <w:rsid w:val="00B353D5"/>
    <w:rsid w:val="00B42AAF"/>
    <w:rsid w:val="00B454B0"/>
    <w:rsid w:val="00B51B3B"/>
    <w:rsid w:val="00B52BC2"/>
    <w:rsid w:val="00B74B7C"/>
    <w:rsid w:val="00B84967"/>
    <w:rsid w:val="00B850EE"/>
    <w:rsid w:val="00B87AC2"/>
    <w:rsid w:val="00B87F10"/>
    <w:rsid w:val="00B913DB"/>
    <w:rsid w:val="00B964F6"/>
    <w:rsid w:val="00BA1D4C"/>
    <w:rsid w:val="00BA5D11"/>
    <w:rsid w:val="00BA6BA5"/>
    <w:rsid w:val="00BB1AC5"/>
    <w:rsid w:val="00BB1C15"/>
    <w:rsid w:val="00BB37E4"/>
    <w:rsid w:val="00BB669C"/>
    <w:rsid w:val="00BC6D64"/>
    <w:rsid w:val="00BC6ECB"/>
    <w:rsid w:val="00BD0583"/>
    <w:rsid w:val="00BD1589"/>
    <w:rsid w:val="00BE2B78"/>
    <w:rsid w:val="00C04EF9"/>
    <w:rsid w:val="00C04FB2"/>
    <w:rsid w:val="00C071E2"/>
    <w:rsid w:val="00C14126"/>
    <w:rsid w:val="00C1598D"/>
    <w:rsid w:val="00C1742B"/>
    <w:rsid w:val="00C32FDA"/>
    <w:rsid w:val="00C46981"/>
    <w:rsid w:val="00C46EA0"/>
    <w:rsid w:val="00C63F26"/>
    <w:rsid w:val="00C642BF"/>
    <w:rsid w:val="00C70E6B"/>
    <w:rsid w:val="00C778E0"/>
    <w:rsid w:val="00C91F55"/>
    <w:rsid w:val="00C93E02"/>
    <w:rsid w:val="00C9740C"/>
    <w:rsid w:val="00CC4655"/>
    <w:rsid w:val="00CD2CC3"/>
    <w:rsid w:val="00CF0946"/>
    <w:rsid w:val="00CF363D"/>
    <w:rsid w:val="00CF6FBB"/>
    <w:rsid w:val="00CF7E1C"/>
    <w:rsid w:val="00D1392C"/>
    <w:rsid w:val="00D171BF"/>
    <w:rsid w:val="00D17CE9"/>
    <w:rsid w:val="00D41E2A"/>
    <w:rsid w:val="00D470C3"/>
    <w:rsid w:val="00D55F33"/>
    <w:rsid w:val="00D570C0"/>
    <w:rsid w:val="00D6018E"/>
    <w:rsid w:val="00D62F2B"/>
    <w:rsid w:val="00D65E33"/>
    <w:rsid w:val="00D713B2"/>
    <w:rsid w:val="00D73D85"/>
    <w:rsid w:val="00D745CA"/>
    <w:rsid w:val="00D80453"/>
    <w:rsid w:val="00D85C6F"/>
    <w:rsid w:val="00D92565"/>
    <w:rsid w:val="00D95325"/>
    <w:rsid w:val="00DA44E1"/>
    <w:rsid w:val="00DA665B"/>
    <w:rsid w:val="00DA76BB"/>
    <w:rsid w:val="00DB0E5D"/>
    <w:rsid w:val="00DB15C7"/>
    <w:rsid w:val="00DC63D0"/>
    <w:rsid w:val="00DC7B40"/>
    <w:rsid w:val="00DE2D9D"/>
    <w:rsid w:val="00DE50B6"/>
    <w:rsid w:val="00DF0B7F"/>
    <w:rsid w:val="00E0491F"/>
    <w:rsid w:val="00E12EE5"/>
    <w:rsid w:val="00E15B3C"/>
    <w:rsid w:val="00E5785B"/>
    <w:rsid w:val="00E726B1"/>
    <w:rsid w:val="00E73AEE"/>
    <w:rsid w:val="00E73DD6"/>
    <w:rsid w:val="00E762D7"/>
    <w:rsid w:val="00E76AE4"/>
    <w:rsid w:val="00E81242"/>
    <w:rsid w:val="00E81915"/>
    <w:rsid w:val="00E91C57"/>
    <w:rsid w:val="00E93810"/>
    <w:rsid w:val="00EA38A9"/>
    <w:rsid w:val="00EA4A57"/>
    <w:rsid w:val="00EC6F0B"/>
    <w:rsid w:val="00ED510F"/>
    <w:rsid w:val="00F0208C"/>
    <w:rsid w:val="00F07E67"/>
    <w:rsid w:val="00F20B32"/>
    <w:rsid w:val="00F2515C"/>
    <w:rsid w:val="00F35C26"/>
    <w:rsid w:val="00F45B74"/>
    <w:rsid w:val="00F54975"/>
    <w:rsid w:val="00F5682F"/>
    <w:rsid w:val="00F62F0E"/>
    <w:rsid w:val="00F671B3"/>
    <w:rsid w:val="00F84E04"/>
    <w:rsid w:val="00FA36AA"/>
    <w:rsid w:val="00FA5BCE"/>
    <w:rsid w:val="00FA5E92"/>
    <w:rsid w:val="00FC10FD"/>
    <w:rsid w:val="00FC7BDB"/>
    <w:rsid w:val="00FE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CB5"/>
    <w:pPr>
      <w:spacing w:after="0" w:line="360" w:lineRule="auto"/>
      <w:ind w:firstLine="357"/>
      <w:jc w:val="both"/>
    </w:pPr>
    <w:rPr>
      <w:rFonts w:ascii="Times New Roman" w:eastAsiaTheme="minorEastAsia" w:hAnsi="Times New Roman"/>
      <w:lang w:val="en-US" w:bidi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9F1C8F"/>
    <w:pPr>
      <w:spacing w:line="240" w:lineRule="auto"/>
      <w:ind w:left="2160"/>
    </w:pPr>
    <w:rPr>
      <w:rFonts w:asciiTheme="minorHAnsi" w:eastAsiaTheme="minorHAnsi" w:hAnsiTheme="minorHAnsi"/>
      <w:lang w:val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F1C8F"/>
    <w:rPr>
      <w:color w:val="5A5A5A" w:themeColor="text1" w:themeTint="A5"/>
    </w:rPr>
  </w:style>
  <w:style w:type="paragraph" w:customStyle="1" w:styleId="Sommario">
    <w:name w:val="Sommario"/>
    <w:basedOn w:val="Normale"/>
    <w:qFormat/>
    <w:rsid w:val="009F1C8F"/>
    <w:pPr>
      <w:spacing w:line="240" w:lineRule="auto"/>
    </w:pPr>
    <w:rPr>
      <w:rFonts w:cs="Times New Roman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2DF2"/>
    <w:rPr>
      <w:vertAlign w:val="superscript"/>
    </w:rPr>
  </w:style>
  <w:style w:type="paragraph" w:styleId="Nessunaspaziatura">
    <w:name w:val="No Spacing"/>
    <w:uiPriority w:val="1"/>
    <w:qFormat/>
    <w:rsid w:val="009F1C8F"/>
    <w:pPr>
      <w:spacing w:after="0" w:line="240" w:lineRule="auto"/>
    </w:pPr>
    <w:rPr>
      <w:rFonts w:ascii="Times New Roman" w:eastAsiaTheme="minorEastAsia" w:hAnsi="Times New Roman"/>
      <w:color w:val="5A5A5A" w:themeColor="text1" w:themeTint="A5"/>
      <w:sz w:val="24"/>
      <w:szCs w:val="20"/>
      <w:lang w:val="en-US" w:bidi="en-US"/>
    </w:rPr>
  </w:style>
  <w:style w:type="paragraph" w:styleId="Paragrafoelenco">
    <w:name w:val="List Paragraph"/>
    <w:basedOn w:val="Normale"/>
    <w:uiPriority w:val="34"/>
    <w:qFormat/>
    <w:rsid w:val="009F1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Forlati</dc:creator>
  <cp:keywords/>
  <dc:description/>
  <cp:lastModifiedBy>Serena Forlati</cp:lastModifiedBy>
  <cp:revision>2</cp:revision>
  <dcterms:created xsi:type="dcterms:W3CDTF">2012-09-16T11:24:00Z</dcterms:created>
  <dcterms:modified xsi:type="dcterms:W3CDTF">2012-09-16T11:24:00Z</dcterms:modified>
</cp:coreProperties>
</file>