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99" w:rsidRPr="00CB4505" w:rsidRDefault="00C27999" w:rsidP="00C27999">
      <w:pPr>
        <w:spacing w:before="100" w:beforeAutospacing="1" w:after="100" w:afterAutospacing="1" w:line="240" w:lineRule="auto"/>
        <w:jc w:val="both"/>
        <w:rPr>
          <w:rFonts w:ascii="Verdana" w:eastAsia="Times New Roman" w:hAnsi="Verdana" w:cs="Times New Roman"/>
          <w:b/>
          <w:bCs/>
          <w:sz w:val="48"/>
          <w:szCs w:val="48"/>
          <w:lang w:eastAsia="it-IT"/>
        </w:rPr>
      </w:pPr>
      <w:r w:rsidRPr="00CB4505">
        <w:rPr>
          <w:rFonts w:ascii="Verdana" w:eastAsia="Times New Roman" w:hAnsi="Verdana" w:cs="Times New Roman"/>
          <w:b/>
          <w:bCs/>
          <w:sz w:val="48"/>
          <w:szCs w:val="48"/>
          <w:lang w:eastAsia="it-IT"/>
        </w:rPr>
        <w:t>REGÌA</w:t>
      </w:r>
    </w:p>
    <w:p w:rsidR="00C27999" w:rsidRPr="00CB4505" w:rsidRDefault="00C27999" w:rsidP="00C27999">
      <w:pPr>
        <w:spacing w:before="100" w:beforeAutospacing="1" w:after="100" w:afterAutospacing="1" w:line="240" w:lineRule="auto"/>
        <w:jc w:val="both"/>
        <w:rPr>
          <w:rFonts w:ascii="Verdana" w:eastAsia="Times New Roman" w:hAnsi="Verdana" w:cs="Times New Roman"/>
          <w:b/>
          <w:sz w:val="24"/>
          <w:szCs w:val="24"/>
          <w:lang w:eastAsia="it-IT"/>
        </w:rPr>
      </w:pPr>
      <w:r w:rsidRPr="00CB4505">
        <w:rPr>
          <w:rFonts w:ascii="Verdana" w:eastAsia="Times New Roman" w:hAnsi="Verdana" w:cs="Times New Roman"/>
          <w:b/>
          <w:sz w:val="24"/>
          <w:szCs w:val="24"/>
          <w:highlight w:val="green"/>
          <w:lang w:eastAsia="it-IT"/>
        </w:rPr>
        <w:t>Vocabolario Treccani on line</w:t>
      </w:r>
      <w:r w:rsidRPr="00CB4505">
        <w:rPr>
          <w:rFonts w:ascii="Verdana" w:eastAsia="Times New Roman" w:hAnsi="Verdana" w:cs="Times New Roman"/>
          <w:b/>
          <w:sz w:val="24"/>
          <w:szCs w:val="24"/>
          <w:lang w:eastAsia="it-IT"/>
        </w:rPr>
        <w:t xml:space="preserve"> </w:t>
      </w:r>
    </w:p>
    <w:p w:rsidR="00C27999" w:rsidRPr="00CB4505" w:rsidRDefault="00C27999" w:rsidP="00C27999">
      <w:pPr>
        <w:spacing w:before="100" w:beforeAutospacing="1" w:after="100" w:afterAutospacing="1" w:line="240" w:lineRule="auto"/>
        <w:rPr>
          <w:rFonts w:ascii="Verdana" w:eastAsia="Times New Roman" w:hAnsi="Verdana" w:cs="Times New Roman"/>
          <w:sz w:val="24"/>
          <w:szCs w:val="24"/>
          <w:lang w:eastAsia="it-IT"/>
        </w:rPr>
      </w:pPr>
      <w:r w:rsidRPr="00CB4505">
        <w:rPr>
          <w:rFonts w:ascii="Verdana" w:eastAsia="Times New Roman" w:hAnsi="Verdana" w:cs="Times New Roman"/>
          <w:b/>
          <w:bCs/>
          <w:sz w:val="24"/>
          <w:szCs w:val="24"/>
          <w:lang w:eastAsia="it-IT"/>
        </w:rPr>
        <w:t>regìa</w:t>
      </w:r>
      <w:r w:rsidRPr="00CB4505">
        <w:rPr>
          <w:rFonts w:ascii="Verdana" w:eastAsia="Times New Roman" w:hAnsi="Verdana" w:cs="Times New Roman"/>
          <w:sz w:val="24"/>
          <w:szCs w:val="24"/>
          <w:lang w:eastAsia="it-IT"/>
        </w:rPr>
        <w:t xml:space="preserve"> s. f. [dal </w:t>
      </w:r>
      <w:proofErr w:type="spellStart"/>
      <w:r w:rsidRPr="00CB4505">
        <w:rPr>
          <w:rFonts w:ascii="Verdana" w:eastAsia="Times New Roman" w:hAnsi="Verdana" w:cs="Times New Roman"/>
          <w:sz w:val="24"/>
          <w:szCs w:val="24"/>
          <w:lang w:eastAsia="it-IT"/>
        </w:rPr>
        <w:t>fr</w:t>
      </w:r>
      <w:proofErr w:type="spellEnd"/>
      <w:r w:rsidRPr="00CB4505">
        <w:rPr>
          <w:rFonts w:ascii="Verdana" w:eastAsia="Times New Roman" w:hAnsi="Verdana" w:cs="Times New Roman"/>
          <w:sz w:val="24"/>
          <w:szCs w:val="24"/>
          <w:lang w:eastAsia="it-IT"/>
        </w:rPr>
        <w:t xml:space="preserve">. </w:t>
      </w:r>
      <w:proofErr w:type="spellStart"/>
      <w:r w:rsidRPr="00CB4505">
        <w:rPr>
          <w:rFonts w:ascii="Verdana" w:eastAsia="Times New Roman" w:hAnsi="Verdana" w:cs="Times New Roman"/>
          <w:i/>
          <w:iCs/>
          <w:sz w:val="24"/>
          <w:szCs w:val="24"/>
          <w:lang w:eastAsia="it-IT"/>
        </w:rPr>
        <w:t>régie</w:t>
      </w:r>
      <w:proofErr w:type="spellEnd"/>
      <w:r w:rsidRPr="00CB4505">
        <w:rPr>
          <w:rFonts w:ascii="Verdana" w:eastAsia="Times New Roman" w:hAnsi="Verdana" w:cs="Times New Roman"/>
          <w:sz w:val="24"/>
          <w:szCs w:val="24"/>
          <w:lang w:eastAsia="it-IT"/>
        </w:rPr>
        <w:t xml:space="preserve">, </w:t>
      </w:r>
      <w:proofErr w:type="spellStart"/>
      <w:r w:rsidRPr="00CB4505">
        <w:rPr>
          <w:rFonts w:ascii="Verdana" w:eastAsia="Times New Roman" w:hAnsi="Verdana" w:cs="Times New Roman"/>
          <w:sz w:val="24"/>
          <w:szCs w:val="24"/>
          <w:lang w:eastAsia="it-IT"/>
        </w:rPr>
        <w:t>der</w:t>
      </w:r>
      <w:proofErr w:type="spellEnd"/>
      <w:r w:rsidRPr="00CB4505">
        <w:rPr>
          <w:rFonts w:ascii="Verdana" w:eastAsia="Times New Roman" w:hAnsi="Verdana" w:cs="Times New Roman"/>
          <w:sz w:val="24"/>
          <w:szCs w:val="24"/>
          <w:lang w:eastAsia="it-IT"/>
        </w:rPr>
        <w:t xml:space="preserve">. di </w:t>
      </w:r>
      <w:proofErr w:type="spellStart"/>
      <w:r w:rsidRPr="00CB4505">
        <w:rPr>
          <w:rFonts w:ascii="Verdana" w:eastAsia="Times New Roman" w:hAnsi="Verdana" w:cs="Times New Roman"/>
          <w:i/>
          <w:iCs/>
          <w:sz w:val="24"/>
          <w:szCs w:val="24"/>
          <w:lang w:eastAsia="it-IT"/>
        </w:rPr>
        <w:t>régir</w:t>
      </w:r>
      <w:proofErr w:type="spellEnd"/>
      <w:r w:rsidRPr="00CB4505">
        <w:rPr>
          <w:rFonts w:ascii="Verdana" w:eastAsia="Times New Roman" w:hAnsi="Verdana" w:cs="Times New Roman"/>
          <w:sz w:val="24"/>
          <w:szCs w:val="24"/>
          <w:lang w:eastAsia="it-IT"/>
        </w:rPr>
        <w:t xml:space="preserve"> «reggere, amministrare», che è dal </w:t>
      </w:r>
      <w:proofErr w:type="spellStart"/>
      <w:r w:rsidRPr="00CB4505">
        <w:rPr>
          <w:rFonts w:ascii="Verdana" w:eastAsia="Times New Roman" w:hAnsi="Verdana" w:cs="Times New Roman"/>
          <w:sz w:val="24"/>
          <w:szCs w:val="24"/>
          <w:lang w:eastAsia="it-IT"/>
        </w:rPr>
        <w:t>lat</w:t>
      </w:r>
      <w:proofErr w:type="spellEnd"/>
      <w:r w:rsidRPr="00CB4505">
        <w:rPr>
          <w:rFonts w:ascii="Verdana" w:eastAsia="Times New Roman" w:hAnsi="Verdana" w:cs="Times New Roman"/>
          <w:sz w:val="24"/>
          <w:szCs w:val="24"/>
          <w:lang w:eastAsia="it-IT"/>
        </w:rPr>
        <w:t xml:space="preserve">. </w:t>
      </w:r>
      <w:proofErr w:type="spellStart"/>
      <w:r w:rsidRPr="00CB4505">
        <w:rPr>
          <w:rFonts w:ascii="Verdana" w:eastAsia="Times New Roman" w:hAnsi="Verdana" w:cs="Times New Roman"/>
          <w:i/>
          <w:iCs/>
          <w:sz w:val="24"/>
          <w:szCs w:val="24"/>
          <w:lang w:eastAsia="it-IT"/>
        </w:rPr>
        <w:t>Regĕre</w:t>
      </w:r>
      <w:proofErr w:type="spellEnd"/>
      <w:r w:rsidRPr="00CB4505">
        <w:rPr>
          <w:rFonts w:ascii="Verdana" w:eastAsia="Times New Roman" w:hAnsi="Verdana" w:cs="Times New Roman"/>
          <w:sz w:val="24"/>
          <w:szCs w:val="24"/>
          <w:lang w:eastAsia="it-IT"/>
        </w:rPr>
        <w:t xml:space="preserve"> «dirigere»]. – </w:t>
      </w:r>
      <w:r w:rsidRPr="00CB4505">
        <w:rPr>
          <w:rFonts w:ascii="Verdana" w:eastAsia="Times New Roman" w:hAnsi="Verdana" w:cs="Times New Roman"/>
          <w:sz w:val="24"/>
          <w:szCs w:val="24"/>
          <w:lang w:eastAsia="it-IT"/>
        </w:rPr>
        <w:br/>
      </w:r>
      <w:r w:rsidRPr="00CB4505">
        <w:rPr>
          <w:rFonts w:ascii="Verdana" w:eastAsia="Times New Roman" w:hAnsi="Verdana" w:cs="Times New Roman"/>
          <w:sz w:val="24"/>
          <w:szCs w:val="24"/>
          <w:lang w:eastAsia="it-IT"/>
        </w:rPr>
        <w:br/>
      </w:r>
      <w:r w:rsidRPr="00CB4505">
        <w:rPr>
          <w:rFonts w:ascii="Verdana" w:eastAsia="Times New Roman" w:hAnsi="Verdana" w:cs="Times New Roman"/>
          <w:b/>
          <w:bCs/>
          <w:sz w:val="24"/>
          <w:szCs w:val="24"/>
          <w:lang w:eastAsia="it-IT"/>
        </w:rPr>
        <w:t>a.</w:t>
      </w:r>
      <w:r w:rsidRPr="00CB4505">
        <w:rPr>
          <w:rFonts w:ascii="Verdana" w:eastAsia="Times New Roman" w:hAnsi="Verdana" w:cs="Times New Roman"/>
          <w:sz w:val="24"/>
          <w:szCs w:val="24"/>
          <w:lang w:eastAsia="it-IT"/>
        </w:rPr>
        <w:t xml:space="preserve"> Direzione della realizzazione di un’opera teatrale, lirica, cinematografica, televisiva o radiofonica, consistente soprattutto nella scelta degli attori e nella guida della loro recitazione (</w:t>
      </w:r>
      <w:r w:rsidRPr="00CB4505">
        <w:rPr>
          <w:rFonts w:ascii="Verdana" w:eastAsia="Times New Roman" w:hAnsi="Verdana" w:cs="Times New Roman"/>
          <w:i/>
          <w:iCs/>
          <w:sz w:val="24"/>
          <w:szCs w:val="24"/>
          <w:lang w:eastAsia="it-IT"/>
        </w:rPr>
        <w:t>r</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del dialogo</w:t>
      </w:r>
      <w:r w:rsidRPr="00CB4505">
        <w:rPr>
          <w:rFonts w:ascii="Verdana" w:eastAsia="Times New Roman" w:hAnsi="Verdana" w:cs="Times New Roman"/>
          <w:sz w:val="24"/>
          <w:szCs w:val="24"/>
          <w:lang w:eastAsia="it-IT"/>
        </w:rPr>
        <w:t xml:space="preserve">, per la recitazione parlata), nella scelta delle scene, dell’arredamento e dei costumi, delle luci, degli effetti sonori, delle musiche e canzoni: </w:t>
      </w:r>
      <w:r w:rsidRPr="00CB4505">
        <w:rPr>
          <w:rFonts w:ascii="Verdana" w:eastAsia="Times New Roman" w:hAnsi="Verdana" w:cs="Times New Roman"/>
          <w:i/>
          <w:iCs/>
          <w:sz w:val="24"/>
          <w:szCs w:val="24"/>
          <w:lang w:eastAsia="it-IT"/>
        </w:rPr>
        <w:t>la r</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teatrale dell’Ottocento</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moderna</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un film che è un modello di r</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cinematografica</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la r</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televisiva</w:t>
      </w:r>
      <w:r w:rsidRPr="00CB4505">
        <w:rPr>
          <w:rFonts w:ascii="Verdana" w:eastAsia="Times New Roman" w:hAnsi="Verdana" w:cs="Times New Roman"/>
          <w:sz w:val="24"/>
          <w:szCs w:val="24"/>
          <w:lang w:eastAsia="it-IT"/>
        </w:rPr>
        <w:t xml:space="preserve">, o </w:t>
      </w:r>
      <w:r w:rsidRPr="00CB4505">
        <w:rPr>
          <w:rFonts w:ascii="Verdana" w:eastAsia="Times New Roman" w:hAnsi="Verdana" w:cs="Times New Roman"/>
          <w:i/>
          <w:iCs/>
          <w:sz w:val="24"/>
          <w:szCs w:val="24"/>
          <w:lang w:eastAsia="it-IT"/>
        </w:rPr>
        <w:t>radiofonica</w:t>
      </w:r>
      <w:r w:rsidRPr="00CB4505">
        <w:rPr>
          <w:rFonts w:ascii="Verdana" w:eastAsia="Times New Roman" w:hAnsi="Verdana" w:cs="Times New Roman"/>
          <w:sz w:val="24"/>
          <w:szCs w:val="24"/>
          <w:lang w:eastAsia="it-IT"/>
        </w:rPr>
        <w:t xml:space="preserve">, </w:t>
      </w:r>
      <w:r w:rsidRPr="00CB4505">
        <w:rPr>
          <w:rFonts w:ascii="Verdana" w:eastAsia="Times New Roman" w:hAnsi="Verdana" w:cs="Times New Roman"/>
          <w:i/>
          <w:iCs/>
          <w:sz w:val="24"/>
          <w:szCs w:val="24"/>
          <w:lang w:eastAsia="it-IT"/>
        </w:rPr>
        <w:t>ha caratteristiche tecniche specifiche</w:t>
      </w:r>
      <w:r w:rsidRPr="00CB4505">
        <w:rPr>
          <w:rFonts w:ascii="Verdana" w:eastAsia="Times New Roman" w:hAnsi="Verdana" w:cs="Times New Roman"/>
          <w:sz w:val="24"/>
          <w:szCs w:val="24"/>
          <w:lang w:eastAsia="it-IT"/>
        </w:rPr>
        <w:t xml:space="preserve">. </w:t>
      </w:r>
    </w:p>
    <w:p w:rsidR="00C27999" w:rsidRPr="00CB4505" w:rsidRDefault="00C27999" w:rsidP="00C27999">
      <w:pPr>
        <w:spacing w:before="100" w:beforeAutospacing="1" w:after="100" w:afterAutospacing="1" w:line="240" w:lineRule="auto"/>
        <w:rPr>
          <w:rFonts w:ascii="Verdana" w:eastAsia="Times New Roman" w:hAnsi="Verdana" w:cs="Times New Roman"/>
          <w:sz w:val="24"/>
          <w:szCs w:val="24"/>
          <w:lang w:eastAsia="it-IT"/>
        </w:rPr>
      </w:pPr>
    </w:p>
    <w:p w:rsidR="00C27999" w:rsidRPr="00C27999" w:rsidRDefault="00C27999" w:rsidP="00C27999">
      <w:pPr>
        <w:spacing w:before="100" w:beforeAutospacing="1" w:after="100" w:afterAutospacing="1" w:line="240" w:lineRule="auto"/>
        <w:jc w:val="both"/>
        <w:outlineLvl w:val="0"/>
        <w:rPr>
          <w:rFonts w:ascii="Verdana" w:eastAsia="Times New Roman" w:hAnsi="Verdana" w:cs="Times New Roman"/>
          <w:b/>
          <w:bCs/>
          <w:kern w:val="36"/>
          <w:sz w:val="48"/>
          <w:szCs w:val="48"/>
          <w:lang w:eastAsia="it-IT"/>
        </w:rPr>
      </w:pPr>
      <w:r w:rsidRPr="00C27999">
        <w:rPr>
          <w:rFonts w:ascii="Verdana" w:eastAsia="Times New Roman" w:hAnsi="Verdana" w:cs="Times New Roman"/>
          <w:b/>
          <w:bCs/>
          <w:kern w:val="36"/>
          <w:sz w:val="48"/>
          <w:szCs w:val="48"/>
          <w:lang w:eastAsia="it-IT"/>
        </w:rPr>
        <w:t>REGIA</w:t>
      </w:r>
    </w:p>
    <w:p w:rsidR="00C27999" w:rsidRPr="00C27999" w:rsidRDefault="00C27999" w:rsidP="00C27999">
      <w:pPr>
        <w:spacing w:after="0" w:line="240" w:lineRule="auto"/>
        <w:jc w:val="both"/>
        <w:rPr>
          <w:rFonts w:ascii="Verdana" w:eastAsia="Times New Roman" w:hAnsi="Verdana" w:cs="Times New Roman"/>
          <w:b/>
          <w:sz w:val="24"/>
          <w:szCs w:val="24"/>
          <w:lang w:eastAsia="it-IT"/>
        </w:rPr>
      </w:pPr>
      <w:r w:rsidRPr="00CB4505">
        <w:rPr>
          <w:rFonts w:ascii="Verdana" w:eastAsia="Times New Roman" w:hAnsi="Verdana" w:cs="Times New Roman"/>
          <w:b/>
          <w:sz w:val="24"/>
          <w:szCs w:val="24"/>
          <w:highlight w:val="green"/>
          <w:lang w:eastAsia="it-IT"/>
        </w:rPr>
        <w:t>ENCICLOPEDIA ITALIANA (1935)</w:t>
      </w:r>
      <w:r w:rsidRPr="00CB4505">
        <w:rPr>
          <w:rFonts w:ascii="Verdana" w:eastAsia="Times New Roman" w:hAnsi="Verdana" w:cs="Times New Roman"/>
          <w:b/>
          <w:sz w:val="24"/>
          <w:szCs w:val="24"/>
          <w:lang w:eastAsia="it-IT"/>
        </w:rPr>
        <w:t xml:space="preserve"> </w:t>
      </w:r>
    </w:p>
    <w:p w:rsidR="00C27999" w:rsidRPr="00C27999" w:rsidRDefault="00C27999" w:rsidP="00C27999">
      <w:pPr>
        <w:spacing w:before="100" w:beforeAutospacing="1" w:after="100" w:afterAutospacing="1" w:line="240" w:lineRule="auto"/>
        <w:jc w:val="both"/>
        <w:rPr>
          <w:rFonts w:ascii="Verdana" w:eastAsia="Times New Roman" w:hAnsi="Verdana" w:cs="Times New Roman"/>
          <w:sz w:val="24"/>
          <w:szCs w:val="24"/>
          <w:lang w:eastAsia="it-IT"/>
        </w:rPr>
      </w:pPr>
      <w:r w:rsidRPr="00C27999">
        <w:rPr>
          <w:rFonts w:ascii="Verdana" w:eastAsia="Times New Roman" w:hAnsi="Verdana" w:cs="Times New Roman"/>
          <w:sz w:val="24"/>
          <w:szCs w:val="24"/>
          <w:lang w:eastAsia="it-IT"/>
        </w:rPr>
        <w:t xml:space="preserve">di </w:t>
      </w:r>
      <w:r w:rsidRPr="00C27999">
        <w:rPr>
          <w:rFonts w:ascii="Verdana" w:eastAsia="Times New Roman" w:hAnsi="Verdana" w:cs="Times New Roman"/>
          <w:b/>
          <w:bCs/>
          <w:sz w:val="24"/>
          <w:szCs w:val="24"/>
          <w:lang w:eastAsia="it-IT"/>
        </w:rPr>
        <w:t xml:space="preserve">Romeo </w:t>
      </w:r>
      <w:proofErr w:type="spellStart"/>
      <w:r w:rsidRPr="00C27999">
        <w:rPr>
          <w:rFonts w:ascii="Verdana" w:eastAsia="Times New Roman" w:hAnsi="Verdana" w:cs="Times New Roman"/>
          <w:b/>
          <w:bCs/>
          <w:sz w:val="24"/>
          <w:szCs w:val="24"/>
          <w:lang w:eastAsia="it-IT"/>
        </w:rPr>
        <w:t>Vuoli</w:t>
      </w:r>
      <w:proofErr w:type="spellEnd"/>
    </w:p>
    <w:p w:rsidR="00C27999" w:rsidRPr="00C27999" w:rsidRDefault="00C27999" w:rsidP="00C27999">
      <w:pPr>
        <w:spacing w:before="100" w:beforeAutospacing="1" w:after="100" w:afterAutospacing="1" w:line="240" w:lineRule="auto"/>
        <w:jc w:val="both"/>
        <w:rPr>
          <w:rFonts w:ascii="Verdana" w:eastAsia="Times New Roman" w:hAnsi="Verdana" w:cs="Times New Roman"/>
          <w:sz w:val="24"/>
          <w:szCs w:val="24"/>
          <w:lang w:eastAsia="it-IT"/>
        </w:rPr>
      </w:pPr>
      <w:r w:rsidRPr="00C27999">
        <w:rPr>
          <w:rFonts w:ascii="Verdana" w:eastAsia="Times New Roman" w:hAnsi="Verdana" w:cs="Times New Roman"/>
          <w:b/>
          <w:bCs/>
          <w:sz w:val="24"/>
          <w:szCs w:val="24"/>
          <w:lang w:eastAsia="it-IT"/>
        </w:rPr>
        <w:t>REGIA</w:t>
      </w:r>
      <w:r w:rsidRPr="00C27999">
        <w:rPr>
          <w:rFonts w:ascii="Verdana" w:eastAsia="Times New Roman" w:hAnsi="Verdana" w:cs="Times New Roman"/>
          <w:sz w:val="24"/>
          <w:szCs w:val="24"/>
          <w:lang w:eastAsia="it-IT"/>
        </w:rPr>
        <w:t xml:space="preserve">. - Per </w:t>
      </w:r>
      <w:r w:rsidRPr="00C27999">
        <w:rPr>
          <w:rFonts w:ascii="Verdana" w:eastAsia="Times New Roman" w:hAnsi="Verdana" w:cs="Times New Roman"/>
          <w:i/>
          <w:iCs/>
          <w:sz w:val="24"/>
          <w:szCs w:val="24"/>
          <w:lang w:eastAsia="it-IT"/>
        </w:rPr>
        <w:t xml:space="preserve">regìa </w:t>
      </w:r>
      <w:r w:rsidRPr="00C27999">
        <w:rPr>
          <w:rFonts w:ascii="Verdana" w:eastAsia="Times New Roman" w:hAnsi="Verdana" w:cs="Times New Roman"/>
          <w:sz w:val="24"/>
          <w:szCs w:val="24"/>
          <w:lang w:eastAsia="it-IT"/>
        </w:rPr>
        <w:t xml:space="preserve">si intende un metodo </w:t>
      </w:r>
      <w:r w:rsidRPr="001232BF">
        <w:rPr>
          <w:rFonts w:ascii="Verdana" w:eastAsia="Times New Roman" w:hAnsi="Verdana" w:cs="Times New Roman"/>
          <w:sz w:val="24"/>
          <w:szCs w:val="24"/>
          <w:highlight w:val="yellow"/>
          <w:lang w:eastAsia="it-IT"/>
        </w:rPr>
        <w:t>di riscossione diretta</w:t>
      </w:r>
      <w:r w:rsidRPr="00C27999">
        <w:rPr>
          <w:rFonts w:ascii="Verdana" w:eastAsia="Times New Roman" w:hAnsi="Verdana" w:cs="Times New Roman"/>
          <w:sz w:val="24"/>
          <w:szCs w:val="24"/>
          <w:lang w:eastAsia="it-IT"/>
        </w:rPr>
        <w:t xml:space="preserve">, che lo stato attua in vario modo. Si ha la </w:t>
      </w:r>
      <w:r w:rsidRPr="00C27999">
        <w:rPr>
          <w:rFonts w:ascii="Verdana" w:eastAsia="Times New Roman" w:hAnsi="Verdana" w:cs="Times New Roman"/>
          <w:i/>
          <w:iCs/>
          <w:sz w:val="24"/>
          <w:szCs w:val="24"/>
          <w:lang w:eastAsia="it-IT"/>
        </w:rPr>
        <w:t xml:space="preserve">regia semplice </w:t>
      </w:r>
      <w:r w:rsidRPr="00C27999">
        <w:rPr>
          <w:rFonts w:ascii="Verdana" w:eastAsia="Times New Roman" w:hAnsi="Verdana" w:cs="Times New Roman"/>
          <w:sz w:val="24"/>
          <w:szCs w:val="24"/>
          <w:lang w:eastAsia="it-IT"/>
        </w:rPr>
        <w:t xml:space="preserve">quando i preposti alla gestione di un'impresa la conducono per conto dello stato, dal quale sono retribuiti stabilmente. Si ha, invece, la </w:t>
      </w:r>
      <w:r w:rsidRPr="00C27999">
        <w:rPr>
          <w:rFonts w:ascii="Verdana" w:eastAsia="Times New Roman" w:hAnsi="Verdana" w:cs="Times New Roman"/>
          <w:i/>
          <w:iCs/>
          <w:sz w:val="24"/>
          <w:szCs w:val="24"/>
          <w:lang w:eastAsia="it-IT"/>
        </w:rPr>
        <w:t>regia cointeressata</w:t>
      </w:r>
      <w:r w:rsidRPr="00C27999">
        <w:rPr>
          <w:rFonts w:ascii="Verdana" w:eastAsia="Times New Roman" w:hAnsi="Verdana" w:cs="Times New Roman"/>
          <w:sz w:val="24"/>
          <w:szCs w:val="24"/>
          <w:lang w:eastAsia="it-IT"/>
        </w:rPr>
        <w:t>, quando lo stato concede a una società la riscossione di un tributo, o la produzione o la vendita di un prodotto fiscale, controlla tutti gli atti d'amministrazione, e si riserva una partecipazione agli utili.</w:t>
      </w:r>
    </w:p>
    <w:p w:rsidR="00C27999" w:rsidRPr="00C27999" w:rsidRDefault="00C27999" w:rsidP="00C27999">
      <w:pPr>
        <w:spacing w:before="100" w:beforeAutospacing="1" w:after="100" w:afterAutospacing="1" w:line="240" w:lineRule="auto"/>
        <w:jc w:val="both"/>
        <w:rPr>
          <w:rFonts w:ascii="Verdana" w:eastAsia="Times New Roman" w:hAnsi="Verdana" w:cs="Times New Roman"/>
          <w:sz w:val="24"/>
          <w:szCs w:val="24"/>
          <w:lang w:eastAsia="it-IT"/>
        </w:rPr>
      </w:pPr>
      <w:r w:rsidRPr="00C27999">
        <w:rPr>
          <w:rFonts w:ascii="Verdana" w:eastAsia="Times New Roman" w:hAnsi="Verdana" w:cs="Times New Roman"/>
          <w:sz w:val="24"/>
          <w:szCs w:val="24"/>
          <w:lang w:eastAsia="it-IT"/>
        </w:rPr>
        <w:t>La regia cointeressata è una figura intermedia tra la gestione diretta e l'appalto, dal quale si differenzia perché l'appaltatore gerisce esclusivamente per suo conto, e deve all'amministrazione pubblica solo ciò che è stabilito nel contratto. Nella regia invece, anche se il dirigente dell'impresa è scelto con il sistema dell'appalto, egli è sempre un gestore di un negozio altrui, e, per quanto interessato all'azienda, deve render conto della sua opera allo stato, al cui controllo è sottoposto tutto l'andamento della gestione.</w:t>
      </w:r>
    </w:p>
    <w:p w:rsidR="00C27999" w:rsidRPr="00CB4505" w:rsidRDefault="00C27999" w:rsidP="00C27999">
      <w:pPr>
        <w:spacing w:before="100" w:beforeAutospacing="1" w:after="100" w:afterAutospacing="1" w:line="240" w:lineRule="auto"/>
        <w:jc w:val="both"/>
        <w:rPr>
          <w:rFonts w:ascii="Verdana" w:eastAsia="Times New Roman" w:hAnsi="Verdana" w:cs="Times New Roman"/>
          <w:sz w:val="24"/>
          <w:szCs w:val="24"/>
          <w:lang w:eastAsia="it-IT"/>
        </w:rPr>
      </w:pPr>
      <w:r w:rsidRPr="00C27999">
        <w:rPr>
          <w:rFonts w:ascii="Verdana" w:eastAsia="Times New Roman" w:hAnsi="Verdana" w:cs="Times New Roman"/>
          <w:sz w:val="24"/>
          <w:szCs w:val="24"/>
          <w:lang w:eastAsia="it-IT"/>
        </w:rPr>
        <w:t>La diversità nel regime giuridico delle due specie di regie si riflette sull'indirizzo della gestione e sui risultati economici. La regia cointeressata si ispira ai criterî commerciali per conseguire, con l'elevazione dei prezzi, il massimo utile, e si giova del regime di monopolio che quasi sempre si ha con l'assunzione di un'industria da parte dello stato. La regia semplice ha il difetto di un'amministrazione nella quale manca l'interesse personale. Il sistema della regia ha larga applicazione nelle industrie esercitate in monopolio per ragioni politico-sociali.</w:t>
      </w:r>
    </w:p>
    <w:p w:rsidR="00CB4505" w:rsidRPr="00A9697A" w:rsidRDefault="00CB4505" w:rsidP="00CB4505">
      <w:pPr>
        <w:spacing w:before="100" w:beforeAutospacing="1" w:after="100" w:afterAutospacing="1" w:line="240" w:lineRule="auto"/>
        <w:jc w:val="both"/>
        <w:rPr>
          <w:rFonts w:ascii="Verdana" w:eastAsia="Times New Roman" w:hAnsi="Verdana" w:cs="Times New Roman"/>
          <w:b/>
          <w:bCs/>
          <w:sz w:val="24"/>
          <w:szCs w:val="24"/>
          <w:lang w:eastAsia="it-IT"/>
        </w:rPr>
      </w:pPr>
      <w:r w:rsidRPr="00CB4505">
        <w:rPr>
          <w:rFonts w:ascii="Verdana" w:eastAsia="Times New Roman" w:hAnsi="Verdana" w:cs="Times New Roman"/>
          <w:b/>
          <w:bCs/>
          <w:sz w:val="48"/>
          <w:szCs w:val="48"/>
          <w:lang w:eastAsia="it-IT"/>
        </w:rPr>
        <w:lastRenderedPageBreak/>
        <w:t>REGIA</w:t>
      </w:r>
      <w:r w:rsidR="00A9697A">
        <w:rPr>
          <w:rFonts w:ascii="Verdana" w:eastAsia="Times New Roman" w:hAnsi="Verdana" w:cs="Times New Roman"/>
          <w:b/>
          <w:bCs/>
          <w:sz w:val="48"/>
          <w:szCs w:val="48"/>
          <w:lang w:eastAsia="it-IT"/>
        </w:rPr>
        <w:t xml:space="preserve"> </w:t>
      </w:r>
      <w:r w:rsidR="00A9697A">
        <w:rPr>
          <w:rFonts w:ascii="Verdana" w:eastAsia="Times New Roman" w:hAnsi="Verdana" w:cs="Times New Roman"/>
          <w:b/>
          <w:bCs/>
          <w:sz w:val="24"/>
          <w:szCs w:val="24"/>
          <w:lang w:eastAsia="it-IT"/>
        </w:rPr>
        <w:t>(breve “storia”)</w:t>
      </w:r>
    </w:p>
    <w:p w:rsidR="00CB4505" w:rsidRPr="00CB4505" w:rsidRDefault="00CB4505" w:rsidP="00CB4505">
      <w:pPr>
        <w:spacing w:before="100" w:beforeAutospacing="1" w:after="100" w:afterAutospacing="1" w:line="240" w:lineRule="auto"/>
        <w:jc w:val="both"/>
        <w:rPr>
          <w:rFonts w:ascii="Verdana" w:eastAsia="Times New Roman" w:hAnsi="Verdana" w:cs="Times New Roman"/>
          <w:b/>
          <w:sz w:val="24"/>
          <w:szCs w:val="24"/>
          <w:lang w:eastAsia="it-IT"/>
        </w:rPr>
      </w:pPr>
      <w:r w:rsidRPr="00CB4505">
        <w:rPr>
          <w:rFonts w:ascii="Verdana" w:eastAsia="Times New Roman" w:hAnsi="Verdana" w:cs="Times New Roman"/>
          <w:b/>
          <w:sz w:val="24"/>
          <w:szCs w:val="24"/>
          <w:highlight w:val="green"/>
          <w:lang w:eastAsia="it-IT"/>
        </w:rPr>
        <w:t>Enciclopedia Treccani on line</w:t>
      </w:r>
      <w:r w:rsidRPr="00CB4505">
        <w:rPr>
          <w:rFonts w:ascii="Verdana" w:eastAsia="Times New Roman" w:hAnsi="Verdana" w:cs="Times New Roman"/>
          <w:b/>
          <w:sz w:val="24"/>
          <w:szCs w:val="24"/>
          <w:lang w:eastAsia="it-IT"/>
        </w:rPr>
        <w:t xml:space="preserve"> </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b/>
          <w:sz w:val="24"/>
          <w:szCs w:val="24"/>
          <w:lang w:eastAsia="it-IT"/>
        </w:rPr>
        <w:t>Regia</w:t>
      </w:r>
      <w:r w:rsidRPr="00CB4505">
        <w:rPr>
          <w:rFonts w:ascii="Verdana" w:eastAsia="Times New Roman" w:hAnsi="Verdana" w:cs="Times New Roman"/>
          <w:sz w:val="24"/>
          <w:szCs w:val="24"/>
          <w:lang w:eastAsia="it-IT"/>
        </w:rPr>
        <w:t xml:space="preserve"> La direzione della messinscena di una rappresentazione teatrale, operistica, cinematografica, televisiva. </w:t>
      </w:r>
    </w:p>
    <w:p w:rsidR="00CB4505" w:rsidRPr="00CB4505" w:rsidRDefault="00CB4505" w:rsidP="00CB4505">
      <w:pPr>
        <w:spacing w:before="100" w:beforeAutospacing="1" w:after="100" w:afterAutospacing="1" w:line="240" w:lineRule="auto"/>
        <w:jc w:val="both"/>
        <w:rPr>
          <w:rFonts w:ascii="Verdana" w:eastAsia="Times New Roman" w:hAnsi="Verdana" w:cs="Times New Roman"/>
          <w:b/>
          <w:sz w:val="24"/>
          <w:szCs w:val="24"/>
          <w:lang w:eastAsia="it-IT"/>
        </w:rPr>
      </w:pPr>
      <w:bookmarkStart w:id="0" w:name="rteatrale-1"/>
      <w:r w:rsidRPr="00CB4505">
        <w:rPr>
          <w:rFonts w:ascii="Verdana" w:eastAsia="Times New Roman" w:hAnsi="Verdana" w:cs="Times New Roman"/>
          <w:b/>
          <w:sz w:val="24"/>
          <w:szCs w:val="24"/>
          <w:lang w:eastAsia="it-IT"/>
        </w:rPr>
        <w:t>1. R. teatrale</w:t>
      </w:r>
      <w:bookmarkEnd w:id="0"/>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t xml:space="preserve">Comprende il complesso di attività rivolto all’esecuzione di un testo drammatico sul palcoscenico. Base di essa è la recitazione, ma vi concorrono molteplici altri elementi: scene, costumi, arredi, luci, meccanismi ecc. In questo senso quindi </w:t>
      </w:r>
      <w:r w:rsidRPr="00E06003">
        <w:rPr>
          <w:rFonts w:ascii="Verdana" w:eastAsia="Times New Roman" w:hAnsi="Verdana" w:cs="Times New Roman"/>
          <w:sz w:val="24"/>
          <w:szCs w:val="24"/>
          <w:highlight w:val="yellow"/>
          <w:lang w:eastAsia="it-IT"/>
        </w:rPr>
        <w:t>la r. intesa come arte di rappresentare, intesa cioè come messinscena, è antica quanto il teatro.</w:t>
      </w:r>
      <w:r w:rsidRPr="00CB4505">
        <w:rPr>
          <w:rFonts w:ascii="Verdana" w:eastAsia="Times New Roman" w:hAnsi="Verdana" w:cs="Times New Roman"/>
          <w:sz w:val="24"/>
          <w:szCs w:val="24"/>
          <w:lang w:eastAsia="it-IT"/>
        </w:rPr>
        <w:t xml:space="preserve"> </w:t>
      </w:r>
    </w:p>
    <w:p w:rsidR="00CB4505" w:rsidRPr="00CB4505" w:rsidRDefault="00CB4505" w:rsidP="00CB4505">
      <w:pPr>
        <w:pStyle w:val="Paragrafoelenco"/>
        <w:numPr>
          <w:ilvl w:val="1"/>
          <w:numId w:val="2"/>
        </w:numPr>
        <w:spacing w:before="100" w:beforeAutospacing="1" w:after="100" w:afterAutospacing="1" w:line="240" w:lineRule="auto"/>
        <w:jc w:val="both"/>
        <w:rPr>
          <w:rFonts w:ascii="Verdana" w:eastAsia="Times New Roman" w:hAnsi="Verdana" w:cs="Times New Roman"/>
          <w:b/>
          <w:sz w:val="24"/>
          <w:szCs w:val="24"/>
          <w:lang w:eastAsia="it-IT"/>
        </w:rPr>
      </w:pPr>
      <w:bookmarkStart w:id="1" w:name="1cennistorici-1"/>
      <w:r w:rsidRPr="00CB4505">
        <w:rPr>
          <w:rFonts w:ascii="Verdana" w:eastAsia="Times New Roman" w:hAnsi="Verdana" w:cs="Times New Roman"/>
          <w:b/>
          <w:sz w:val="24"/>
          <w:szCs w:val="24"/>
          <w:lang w:eastAsia="it-IT"/>
        </w:rPr>
        <w:t>Cenni storici</w:t>
      </w:r>
      <w:bookmarkEnd w:id="1"/>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t xml:space="preserve">Dapprima la r. fu </w:t>
      </w:r>
      <w:r w:rsidRPr="001B53B7">
        <w:rPr>
          <w:rFonts w:ascii="Verdana" w:eastAsia="Times New Roman" w:hAnsi="Verdana" w:cs="Times New Roman"/>
          <w:sz w:val="24"/>
          <w:szCs w:val="24"/>
          <w:highlight w:val="green"/>
          <w:lang w:eastAsia="it-IT"/>
        </w:rPr>
        <w:t>tenuta dallo stesso poeta</w:t>
      </w:r>
      <w:r w:rsidRPr="00CB4505">
        <w:rPr>
          <w:rFonts w:ascii="Verdana" w:eastAsia="Times New Roman" w:hAnsi="Verdana" w:cs="Times New Roman"/>
          <w:sz w:val="24"/>
          <w:szCs w:val="24"/>
          <w:lang w:eastAsia="it-IT"/>
        </w:rPr>
        <w:t xml:space="preserve">, che dettava e poi metteva in scena la sua opera. A qualcuno di essi si dovette persino l’invenzione di </w:t>
      </w:r>
      <w:r w:rsidRPr="001B53B7">
        <w:rPr>
          <w:rFonts w:ascii="Verdana" w:eastAsia="Times New Roman" w:hAnsi="Verdana" w:cs="Times New Roman"/>
          <w:sz w:val="24"/>
          <w:szCs w:val="24"/>
          <w:highlight w:val="green"/>
          <w:lang w:eastAsia="it-IT"/>
        </w:rPr>
        <w:t>oggetti tecnici</w:t>
      </w:r>
      <w:r w:rsidRPr="00CB4505">
        <w:rPr>
          <w:rFonts w:ascii="Verdana" w:eastAsia="Times New Roman" w:hAnsi="Verdana" w:cs="Times New Roman"/>
          <w:sz w:val="24"/>
          <w:szCs w:val="24"/>
          <w:lang w:eastAsia="it-IT"/>
        </w:rPr>
        <w:t xml:space="preserve"> (a </w:t>
      </w:r>
      <w:hyperlink r:id="rId8" w:history="1">
        <w:r w:rsidRPr="00CB4505">
          <w:rPr>
            <w:rStyle w:val="Collegamentoipertestuale"/>
            <w:rFonts w:ascii="Verdana" w:eastAsia="Times New Roman" w:hAnsi="Verdana" w:cs="Times New Roman"/>
            <w:color w:val="auto"/>
            <w:sz w:val="24"/>
            <w:szCs w:val="24"/>
            <w:lang w:eastAsia="it-IT"/>
          </w:rPr>
          <w:t>Eschilo</w:t>
        </w:r>
      </w:hyperlink>
      <w:r w:rsidRPr="00CB4505">
        <w:rPr>
          <w:rFonts w:ascii="Verdana" w:eastAsia="Times New Roman" w:hAnsi="Verdana" w:cs="Times New Roman"/>
          <w:sz w:val="24"/>
          <w:szCs w:val="24"/>
          <w:lang w:eastAsia="it-IT"/>
        </w:rPr>
        <w:t xml:space="preserve">, il primo al quale, secondo Aristotele, si attribuiscono la maschera e il coturno). Nell’antico </w:t>
      </w:r>
      <w:r w:rsidRPr="00E06003">
        <w:rPr>
          <w:rFonts w:ascii="Verdana" w:eastAsia="Times New Roman" w:hAnsi="Verdana" w:cs="Times New Roman"/>
          <w:sz w:val="24"/>
          <w:szCs w:val="24"/>
          <w:highlight w:val="yellow"/>
          <w:lang w:eastAsia="it-IT"/>
        </w:rPr>
        <w:t>teatro greco</w:t>
      </w:r>
      <w:r w:rsidRPr="00CB4505">
        <w:rPr>
          <w:rFonts w:ascii="Verdana" w:eastAsia="Times New Roman" w:hAnsi="Verdana" w:cs="Times New Roman"/>
          <w:sz w:val="24"/>
          <w:szCs w:val="24"/>
          <w:lang w:eastAsia="it-IT"/>
        </w:rPr>
        <w:t xml:space="preserve"> gli esecutori del dramma, coro compreso, erano scelti e istruiti volta per volta; nel </w:t>
      </w:r>
      <w:r w:rsidRPr="00E06003">
        <w:rPr>
          <w:rFonts w:ascii="Verdana" w:eastAsia="Times New Roman" w:hAnsi="Verdana" w:cs="Times New Roman"/>
          <w:sz w:val="24"/>
          <w:szCs w:val="24"/>
          <w:highlight w:val="yellow"/>
          <w:lang w:eastAsia="it-IT"/>
        </w:rPr>
        <w:t>teatro romano</w:t>
      </w:r>
      <w:r w:rsidRPr="00CB4505">
        <w:rPr>
          <w:rFonts w:ascii="Verdana" w:eastAsia="Times New Roman" w:hAnsi="Verdana" w:cs="Times New Roman"/>
          <w:sz w:val="24"/>
          <w:szCs w:val="24"/>
          <w:lang w:eastAsia="it-IT"/>
        </w:rPr>
        <w:t xml:space="preserve">, invece, che in origine si attenne scenicamente ai caratteri propri di quello greco, vi erano delle </w:t>
      </w:r>
      <w:r w:rsidRPr="00E06003">
        <w:rPr>
          <w:rFonts w:ascii="Verdana" w:eastAsia="Times New Roman" w:hAnsi="Verdana" w:cs="Times New Roman"/>
          <w:b/>
          <w:sz w:val="24"/>
          <w:szCs w:val="24"/>
          <w:highlight w:val="green"/>
          <w:lang w:eastAsia="it-IT"/>
        </w:rPr>
        <w:t>compagnie stabili</w:t>
      </w:r>
      <w:r w:rsidRPr="00CB4505">
        <w:rPr>
          <w:rFonts w:ascii="Verdana" w:eastAsia="Times New Roman" w:hAnsi="Verdana" w:cs="Times New Roman"/>
          <w:sz w:val="24"/>
          <w:szCs w:val="24"/>
          <w:lang w:eastAsia="it-IT"/>
        </w:rPr>
        <w:t xml:space="preserve"> (</w:t>
      </w:r>
      <w:proofErr w:type="spellStart"/>
      <w:r w:rsidRPr="00CB4505">
        <w:rPr>
          <w:rFonts w:ascii="Verdana" w:eastAsia="Times New Roman" w:hAnsi="Verdana" w:cs="Times New Roman"/>
          <w:i/>
          <w:iCs/>
          <w:sz w:val="24"/>
          <w:szCs w:val="24"/>
          <w:lang w:eastAsia="it-IT"/>
        </w:rPr>
        <w:t>greges</w:t>
      </w:r>
      <w:proofErr w:type="spellEnd"/>
      <w:r w:rsidRPr="00CB4505">
        <w:rPr>
          <w:rFonts w:ascii="Verdana" w:eastAsia="Times New Roman" w:hAnsi="Verdana" w:cs="Times New Roman"/>
          <w:sz w:val="24"/>
          <w:szCs w:val="24"/>
          <w:lang w:eastAsia="it-IT"/>
        </w:rPr>
        <w:t>). Una varietà e un fasto imponenti si ebbero durante l’ultimo secolo della Repubblica e i primi dell’Impero, quando il dramma storico, leggendario o mitico, divenne pretesto per imbastire enormi coreografie di carattere realistico, e gli attori divennero divi celebrati.</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2C3605">
        <w:rPr>
          <w:rFonts w:ascii="Verdana" w:eastAsia="Times New Roman" w:hAnsi="Verdana" w:cs="Times New Roman"/>
          <w:sz w:val="24"/>
          <w:szCs w:val="24"/>
          <w:highlight w:val="yellow"/>
          <w:lang w:eastAsia="it-IT"/>
        </w:rPr>
        <w:t>Nei teatri d’Oriente,</w:t>
      </w:r>
      <w:r w:rsidRPr="00CB4505">
        <w:rPr>
          <w:rFonts w:ascii="Verdana" w:eastAsia="Times New Roman" w:hAnsi="Verdana" w:cs="Times New Roman"/>
          <w:sz w:val="24"/>
          <w:szCs w:val="24"/>
          <w:lang w:eastAsia="it-IT"/>
        </w:rPr>
        <w:t xml:space="preserve"> in generale, prevalse l’attore sul regista: in particolare in </w:t>
      </w:r>
      <w:hyperlink r:id="rId9" w:history="1">
        <w:r w:rsidRPr="00CB4505">
          <w:rPr>
            <w:rStyle w:val="Collegamentoipertestuale"/>
            <w:rFonts w:ascii="Verdana" w:eastAsia="Times New Roman" w:hAnsi="Verdana" w:cs="Times New Roman"/>
            <w:color w:val="auto"/>
            <w:sz w:val="24"/>
            <w:szCs w:val="24"/>
            <w:lang w:eastAsia="it-IT"/>
          </w:rPr>
          <w:t>Giappone</w:t>
        </w:r>
      </w:hyperlink>
      <w:r w:rsidRPr="00CB4505">
        <w:rPr>
          <w:rFonts w:ascii="Verdana" w:eastAsia="Times New Roman" w:hAnsi="Verdana" w:cs="Times New Roman"/>
          <w:sz w:val="24"/>
          <w:szCs w:val="24"/>
          <w:lang w:eastAsia="it-IT"/>
        </w:rPr>
        <w:t xml:space="preserve"> l’attore era veramente il despota della scena: poiché l’arte teatrale era quasi tutta basata sulla mimica e sulla virtuosità, l’attore giapponese era insieme atleta, acrobata, mimo, tecnico. Perché non si perdesse la minima sfumatura, la r. giapponese, oltre a gettare piattaforme girevoli e ponti tra palcoscenico e platea, inventò, parecchi secoli prima del cinema, il primo piano.</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t xml:space="preserve">In </w:t>
      </w:r>
      <w:hyperlink r:id="rId10" w:history="1">
        <w:r w:rsidRPr="00CB4505">
          <w:rPr>
            <w:rStyle w:val="Collegamentoipertestuale"/>
            <w:rFonts w:ascii="Verdana" w:eastAsia="Times New Roman" w:hAnsi="Verdana" w:cs="Times New Roman"/>
            <w:color w:val="auto"/>
            <w:sz w:val="24"/>
            <w:szCs w:val="24"/>
            <w:lang w:eastAsia="it-IT"/>
          </w:rPr>
          <w:t>Europa</w:t>
        </w:r>
      </w:hyperlink>
      <w:r w:rsidRPr="00CB4505">
        <w:rPr>
          <w:rFonts w:ascii="Verdana" w:eastAsia="Times New Roman" w:hAnsi="Verdana" w:cs="Times New Roman"/>
          <w:sz w:val="24"/>
          <w:szCs w:val="24"/>
          <w:lang w:eastAsia="it-IT"/>
        </w:rPr>
        <w:t xml:space="preserve">, non appena col </w:t>
      </w:r>
      <w:r w:rsidRPr="002C3605">
        <w:rPr>
          <w:rFonts w:ascii="Verdana" w:eastAsia="Times New Roman" w:hAnsi="Verdana" w:cs="Times New Roman"/>
          <w:sz w:val="24"/>
          <w:szCs w:val="24"/>
          <w:highlight w:val="yellow"/>
          <w:lang w:eastAsia="it-IT"/>
        </w:rPr>
        <w:t>Medioevo</w:t>
      </w:r>
      <w:r w:rsidRPr="00CB4505">
        <w:rPr>
          <w:rFonts w:ascii="Verdana" w:eastAsia="Times New Roman" w:hAnsi="Verdana" w:cs="Times New Roman"/>
          <w:sz w:val="24"/>
          <w:szCs w:val="24"/>
          <w:lang w:eastAsia="it-IT"/>
        </w:rPr>
        <w:t xml:space="preserve"> il dramma cominciò a diffondersi, si ebbero azioni sacre con centinaia di personaggi che rappresentavano anche la storia di un popolo: ciò richiedeva una scena multipla che non rappresentasse un luogo, ma tanti luoghi deputati, offerti simultaneamente agli occhi degli spettatori, che vedevano i personaggi trascorrere da un quadro all’altro, in una serie di scene allineate in senso orizzontale o anche sovrapposte. Infine il dramma misto (in cui cioè si mescolavano latino e volgare) e il dramma in volgare non si rappresentarono più in appositi edifici, ma </w:t>
      </w:r>
      <w:r w:rsidRPr="002C3605">
        <w:rPr>
          <w:rFonts w:ascii="Verdana" w:eastAsia="Times New Roman" w:hAnsi="Verdana" w:cs="Times New Roman"/>
          <w:sz w:val="24"/>
          <w:szCs w:val="24"/>
          <w:highlight w:val="yellow"/>
          <w:lang w:eastAsia="it-IT"/>
        </w:rPr>
        <w:t>dall’interno della chiesa si trasferirono sul sagrato, nella canonica, nei cortili, in piazza e nei cimiteri (</w:t>
      </w:r>
      <w:hyperlink r:id="rId11" w:history="1">
        <w:r w:rsidRPr="002C3605">
          <w:rPr>
            <w:rStyle w:val="Collegamentoipertestuale"/>
            <w:rFonts w:ascii="Verdana" w:eastAsia="Times New Roman" w:hAnsi="Verdana" w:cs="Times New Roman"/>
            <w:color w:val="auto"/>
            <w:sz w:val="24"/>
            <w:szCs w:val="24"/>
            <w:highlight w:val="yellow"/>
            <w:lang w:eastAsia="it-IT"/>
          </w:rPr>
          <w:t>Inghilterra</w:t>
        </w:r>
      </w:hyperlink>
      <w:r w:rsidRPr="002C3605">
        <w:rPr>
          <w:rFonts w:ascii="Verdana" w:eastAsia="Times New Roman" w:hAnsi="Verdana" w:cs="Times New Roman"/>
          <w:sz w:val="24"/>
          <w:szCs w:val="24"/>
          <w:highlight w:val="yellow"/>
          <w:lang w:eastAsia="it-IT"/>
        </w:rPr>
        <w:t>).</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lastRenderedPageBreak/>
        <w:t xml:space="preserve">Nel </w:t>
      </w:r>
      <w:r w:rsidRPr="001B53B7">
        <w:rPr>
          <w:rFonts w:ascii="Verdana" w:eastAsia="Times New Roman" w:hAnsi="Verdana" w:cs="Times New Roman"/>
          <w:sz w:val="24"/>
          <w:szCs w:val="24"/>
          <w:highlight w:val="yellow"/>
          <w:lang w:eastAsia="it-IT"/>
        </w:rPr>
        <w:t>Rinascimento</w:t>
      </w:r>
      <w:r w:rsidRPr="00CB4505">
        <w:rPr>
          <w:rFonts w:ascii="Verdana" w:eastAsia="Times New Roman" w:hAnsi="Verdana" w:cs="Times New Roman"/>
          <w:sz w:val="24"/>
          <w:szCs w:val="24"/>
          <w:lang w:eastAsia="it-IT"/>
        </w:rPr>
        <w:t xml:space="preserve">, il gusto del prodigioso e della curiosità tecnica portò a forme di virtuosismo gli scenografi, i quali fornivano alla </w:t>
      </w:r>
      <w:hyperlink r:id="rId12" w:history="1">
        <w:r w:rsidRPr="00CB4505">
          <w:rPr>
            <w:rStyle w:val="Collegamentoipertestuale"/>
            <w:rFonts w:ascii="Verdana" w:eastAsia="Times New Roman" w:hAnsi="Verdana" w:cs="Times New Roman"/>
            <w:color w:val="auto"/>
            <w:sz w:val="24"/>
            <w:szCs w:val="24"/>
            <w:lang w:eastAsia="it-IT"/>
          </w:rPr>
          <w:t>sacra rappresentazione</w:t>
        </w:r>
      </w:hyperlink>
      <w:r w:rsidRPr="00CB4505">
        <w:rPr>
          <w:rFonts w:ascii="Verdana" w:eastAsia="Times New Roman" w:hAnsi="Verdana" w:cs="Times New Roman"/>
          <w:sz w:val="24"/>
          <w:szCs w:val="24"/>
          <w:lang w:eastAsia="it-IT"/>
        </w:rPr>
        <w:t xml:space="preserve"> il pretesto di </w:t>
      </w:r>
      <w:r w:rsidRPr="00F3148B">
        <w:rPr>
          <w:rFonts w:ascii="Verdana" w:eastAsia="Times New Roman" w:hAnsi="Verdana" w:cs="Times New Roman"/>
          <w:sz w:val="24"/>
          <w:szCs w:val="24"/>
          <w:highlight w:val="green"/>
          <w:lang w:eastAsia="it-IT"/>
        </w:rPr>
        <w:t>coreografie spettacolari</w:t>
      </w:r>
      <w:r w:rsidRPr="00CB4505">
        <w:rPr>
          <w:rFonts w:ascii="Verdana" w:eastAsia="Times New Roman" w:hAnsi="Verdana" w:cs="Times New Roman"/>
          <w:sz w:val="24"/>
          <w:szCs w:val="24"/>
          <w:lang w:eastAsia="it-IT"/>
        </w:rPr>
        <w:t xml:space="preserve"> con intervento di draghi, diavoli, angeli, del Padre Eterno e con catastrofi, incendi ecc., fino a costituire con gli ‘</w:t>
      </w:r>
      <w:r w:rsidRPr="001B53B7">
        <w:rPr>
          <w:rFonts w:ascii="Verdana" w:eastAsia="Times New Roman" w:hAnsi="Verdana" w:cs="Times New Roman"/>
          <w:sz w:val="24"/>
          <w:szCs w:val="24"/>
          <w:highlight w:val="green"/>
          <w:lang w:eastAsia="it-IT"/>
        </w:rPr>
        <w:t>intermezzi’</w:t>
      </w:r>
      <w:r w:rsidRPr="00CB4505">
        <w:rPr>
          <w:rFonts w:ascii="Verdana" w:eastAsia="Times New Roman" w:hAnsi="Verdana" w:cs="Times New Roman"/>
          <w:sz w:val="24"/>
          <w:szCs w:val="24"/>
          <w:lang w:eastAsia="it-IT"/>
        </w:rPr>
        <w:t xml:space="preserve"> la vera attrazione dello spettacolo. La decadenza del dramma sacro e il trionfo umanistico della tragedia e della commedia classica favorirono il ritorno alla scena unitaria. Gli autori del primo Cinquecento e del tardo Rinascimento si attennero alle regole aristoteliche intorno ai limiti di tempo e di spazio, provocando quindi nella scenografia un essenziale impoverimento e una certa rigidità di forme. La monotonia della scena, insieme con la stanca ripetizione di motivi abusati, ingenerarono presto però, nella seconda metà del secolo, un rinnovato desiderio di varietà e di vivacità, che la </w:t>
      </w:r>
      <w:r w:rsidRPr="00F3148B">
        <w:rPr>
          <w:rFonts w:ascii="Verdana" w:eastAsia="Times New Roman" w:hAnsi="Verdana" w:cs="Times New Roman"/>
          <w:sz w:val="24"/>
          <w:szCs w:val="24"/>
          <w:highlight w:val="yellow"/>
          <w:lang w:eastAsia="it-IT"/>
        </w:rPr>
        <w:t>Commedia dell’arte</w:t>
      </w:r>
      <w:r w:rsidRPr="00CB4505">
        <w:rPr>
          <w:rFonts w:ascii="Verdana" w:eastAsia="Times New Roman" w:hAnsi="Verdana" w:cs="Times New Roman"/>
          <w:sz w:val="24"/>
          <w:szCs w:val="24"/>
          <w:lang w:eastAsia="it-IT"/>
        </w:rPr>
        <w:t xml:space="preserve"> appagò: trionfava l’attore e la r. cambiava aspetto; i comici, sotto la direzione di un </w:t>
      </w:r>
      <w:r w:rsidRPr="00F3148B">
        <w:rPr>
          <w:rFonts w:ascii="Verdana" w:eastAsia="Times New Roman" w:hAnsi="Verdana" w:cs="Times New Roman"/>
          <w:sz w:val="24"/>
          <w:szCs w:val="24"/>
          <w:highlight w:val="green"/>
          <w:lang w:eastAsia="it-IT"/>
        </w:rPr>
        <w:t>corego</w:t>
      </w:r>
      <w:r w:rsidRPr="00CB4505">
        <w:rPr>
          <w:rFonts w:ascii="Verdana" w:eastAsia="Times New Roman" w:hAnsi="Verdana" w:cs="Times New Roman"/>
          <w:sz w:val="24"/>
          <w:szCs w:val="24"/>
          <w:lang w:eastAsia="it-IT"/>
        </w:rPr>
        <w:t xml:space="preserve">, concertavano i loro spettacoli prima di andare in scena; e una volta accordatisi, imbastivano liberamente le loro azioni. In </w:t>
      </w:r>
      <w:hyperlink r:id="rId13" w:history="1">
        <w:r w:rsidRPr="00CB4505">
          <w:rPr>
            <w:rStyle w:val="Collegamentoipertestuale"/>
            <w:rFonts w:ascii="Verdana" w:eastAsia="Times New Roman" w:hAnsi="Verdana" w:cs="Times New Roman"/>
            <w:color w:val="auto"/>
            <w:sz w:val="24"/>
            <w:szCs w:val="24"/>
            <w:lang w:eastAsia="it-IT"/>
          </w:rPr>
          <w:t>Italia</w:t>
        </w:r>
      </w:hyperlink>
      <w:r w:rsidRPr="00CB4505">
        <w:rPr>
          <w:rFonts w:ascii="Verdana" w:eastAsia="Times New Roman" w:hAnsi="Verdana" w:cs="Times New Roman"/>
          <w:sz w:val="24"/>
          <w:szCs w:val="24"/>
          <w:lang w:eastAsia="it-IT"/>
        </w:rPr>
        <w:t xml:space="preserve"> si adoperarono il luogo chiuso e la luce artificiale, raggiungendo effetti stupendi di illusione scenica.</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F3148B">
        <w:rPr>
          <w:rFonts w:ascii="Verdana" w:eastAsia="Times New Roman" w:hAnsi="Verdana" w:cs="Times New Roman"/>
          <w:sz w:val="24"/>
          <w:szCs w:val="24"/>
          <w:highlight w:val="green"/>
          <w:lang w:eastAsia="it-IT"/>
        </w:rPr>
        <w:t>Il fasto spettacolare vinse il testo e s’impose anche nel teatro lirico</w:t>
      </w:r>
      <w:r w:rsidRPr="00CB4505">
        <w:rPr>
          <w:rFonts w:ascii="Verdana" w:eastAsia="Times New Roman" w:hAnsi="Verdana" w:cs="Times New Roman"/>
          <w:sz w:val="24"/>
          <w:szCs w:val="24"/>
          <w:lang w:eastAsia="it-IT"/>
        </w:rPr>
        <w:t xml:space="preserve"> (17°-18° sec.). La reazione classica di </w:t>
      </w:r>
      <w:proofErr w:type="spellStart"/>
      <w:r w:rsidRPr="00CB4505">
        <w:rPr>
          <w:rFonts w:ascii="Verdana" w:eastAsia="Times New Roman" w:hAnsi="Verdana" w:cs="Times New Roman"/>
          <w:sz w:val="24"/>
          <w:szCs w:val="24"/>
          <w:lang w:eastAsia="it-IT"/>
        </w:rPr>
        <w:t>Corneille</w:t>
      </w:r>
      <w:proofErr w:type="spellEnd"/>
      <w:r w:rsidRPr="00CB4505">
        <w:rPr>
          <w:rFonts w:ascii="Verdana" w:eastAsia="Times New Roman" w:hAnsi="Verdana" w:cs="Times New Roman"/>
          <w:sz w:val="24"/>
          <w:szCs w:val="24"/>
          <w:lang w:eastAsia="it-IT"/>
        </w:rPr>
        <w:t xml:space="preserve"> e </w:t>
      </w:r>
      <w:proofErr w:type="spellStart"/>
      <w:r w:rsidRPr="00CB4505">
        <w:rPr>
          <w:rFonts w:ascii="Verdana" w:eastAsia="Times New Roman" w:hAnsi="Verdana" w:cs="Times New Roman"/>
          <w:sz w:val="24"/>
          <w:szCs w:val="24"/>
          <w:lang w:eastAsia="it-IT"/>
        </w:rPr>
        <w:t>Racine</w:t>
      </w:r>
      <w:proofErr w:type="spellEnd"/>
      <w:r w:rsidRPr="00CB4505">
        <w:rPr>
          <w:rFonts w:ascii="Verdana" w:eastAsia="Times New Roman" w:hAnsi="Verdana" w:cs="Times New Roman"/>
          <w:sz w:val="24"/>
          <w:szCs w:val="24"/>
          <w:lang w:eastAsia="it-IT"/>
        </w:rPr>
        <w:t xml:space="preserve">, in </w:t>
      </w:r>
      <w:hyperlink r:id="rId14" w:history="1">
        <w:r w:rsidRPr="00CB4505">
          <w:rPr>
            <w:rStyle w:val="Collegamentoipertestuale"/>
            <w:rFonts w:ascii="Verdana" w:eastAsia="Times New Roman" w:hAnsi="Verdana" w:cs="Times New Roman"/>
            <w:color w:val="auto"/>
            <w:sz w:val="24"/>
            <w:szCs w:val="24"/>
            <w:lang w:eastAsia="it-IT"/>
          </w:rPr>
          <w:t>Francia</w:t>
        </w:r>
      </w:hyperlink>
      <w:r w:rsidRPr="00CB4505">
        <w:rPr>
          <w:rFonts w:ascii="Verdana" w:eastAsia="Times New Roman" w:hAnsi="Verdana" w:cs="Times New Roman"/>
          <w:sz w:val="24"/>
          <w:szCs w:val="24"/>
          <w:lang w:eastAsia="it-IT"/>
        </w:rPr>
        <w:t xml:space="preserve">, e in Italia i testi di </w:t>
      </w:r>
      <w:hyperlink r:id="rId15" w:history="1">
        <w:r w:rsidRPr="00CB4505">
          <w:rPr>
            <w:rStyle w:val="Collegamentoipertestuale"/>
            <w:rFonts w:ascii="Verdana" w:eastAsia="Times New Roman" w:hAnsi="Verdana" w:cs="Times New Roman"/>
            <w:color w:val="auto"/>
            <w:sz w:val="24"/>
            <w:szCs w:val="24"/>
            <w:lang w:eastAsia="it-IT"/>
          </w:rPr>
          <w:t>C. Goldoni</w:t>
        </w:r>
      </w:hyperlink>
      <w:r w:rsidRPr="00CB4505">
        <w:rPr>
          <w:rFonts w:ascii="Verdana" w:eastAsia="Times New Roman" w:hAnsi="Verdana" w:cs="Times New Roman"/>
          <w:sz w:val="24"/>
          <w:szCs w:val="24"/>
          <w:lang w:eastAsia="it-IT"/>
        </w:rPr>
        <w:t xml:space="preserve"> e di </w:t>
      </w:r>
      <w:hyperlink r:id="rId16" w:history="1">
        <w:r w:rsidRPr="00CB4505">
          <w:rPr>
            <w:rStyle w:val="Collegamentoipertestuale"/>
            <w:rFonts w:ascii="Verdana" w:eastAsia="Times New Roman" w:hAnsi="Verdana" w:cs="Times New Roman"/>
            <w:color w:val="auto"/>
            <w:sz w:val="24"/>
            <w:szCs w:val="24"/>
            <w:lang w:eastAsia="it-IT"/>
          </w:rPr>
          <w:t>V. Alfieri</w:t>
        </w:r>
      </w:hyperlink>
      <w:r w:rsidRPr="00CB4505">
        <w:rPr>
          <w:rFonts w:ascii="Verdana" w:eastAsia="Times New Roman" w:hAnsi="Verdana" w:cs="Times New Roman"/>
          <w:sz w:val="24"/>
          <w:szCs w:val="24"/>
          <w:lang w:eastAsia="it-IT"/>
        </w:rPr>
        <w:t xml:space="preserve"> non valsero a ricomporre l’equilibrio: lo squilibrio continuò fin quasi alle soglie dell’Ottocento. Fu merito del Romanticismo ricondurre la scena al suo compito naturale di collaboratrice ed esaltatrice del </w:t>
      </w:r>
      <w:r w:rsidRPr="00F3148B">
        <w:rPr>
          <w:rFonts w:ascii="Verdana" w:eastAsia="Times New Roman" w:hAnsi="Verdana" w:cs="Times New Roman"/>
          <w:sz w:val="24"/>
          <w:szCs w:val="24"/>
          <w:highlight w:val="green"/>
          <w:lang w:eastAsia="it-IT"/>
        </w:rPr>
        <w:t>potere suggestivo della parola</w:t>
      </w:r>
      <w:r w:rsidRPr="00CB4505">
        <w:rPr>
          <w:rFonts w:ascii="Verdana" w:eastAsia="Times New Roman" w:hAnsi="Verdana" w:cs="Times New Roman"/>
          <w:sz w:val="24"/>
          <w:szCs w:val="24"/>
          <w:lang w:eastAsia="it-IT"/>
        </w:rPr>
        <w:t xml:space="preserve">; la messinscena del dramma romantico ricercava la </w:t>
      </w:r>
      <w:r w:rsidRPr="00F3148B">
        <w:rPr>
          <w:rFonts w:ascii="Verdana" w:eastAsia="Times New Roman" w:hAnsi="Verdana" w:cs="Times New Roman"/>
          <w:sz w:val="24"/>
          <w:szCs w:val="24"/>
          <w:highlight w:val="green"/>
          <w:lang w:eastAsia="it-IT"/>
        </w:rPr>
        <w:t>verosimiglianza</w:t>
      </w:r>
      <w:r w:rsidRPr="00CB4505">
        <w:rPr>
          <w:rFonts w:ascii="Verdana" w:eastAsia="Times New Roman" w:hAnsi="Verdana" w:cs="Times New Roman"/>
          <w:sz w:val="24"/>
          <w:szCs w:val="24"/>
          <w:lang w:eastAsia="it-IT"/>
        </w:rPr>
        <w:t xml:space="preserve">, ottenuta con una riproduzione il più possibile fedele dei molti luoghi e del tempo in cui si svolge l’azione, con l’uso animato e corale delle masse. </w:t>
      </w:r>
    </w:p>
    <w:p w:rsidR="00CB4505" w:rsidRPr="00F3148B" w:rsidRDefault="00CB4505" w:rsidP="00CB4505">
      <w:pPr>
        <w:pStyle w:val="Paragrafoelenco"/>
        <w:numPr>
          <w:ilvl w:val="1"/>
          <w:numId w:val="2"/>
        </w:numPr>
        <w:spacing w:before="100" w:beforeAutospacing="1" w:after="100" w:afterAutospacing="1" w:line="240" w:lineRule="auto"/>
        <w:jc w:val="both"/>
        <w:rPr>
          <w:rFonts w:ascii="Verdana" w:eastAsia="Times New Roman" w:hAnsi="Verdana" w:cs="Times New Roman"/>
          <w:b/>
          <w:sz w:val="24"/>
          <w:szCs w:val="24"/>
          <w:highlight w:val="yellow"/>
          <w:lang w:eastAsia="it-IT"/>
        </w:rPr>
      </w:pPr>
      <w:bookmarkStart w:id="2" w:name="2larmoderna-1"/>
      <w:r w:rsidRPr="00F3148B">
        <w:rPr>
          <w:rFonts w:ascii="Verdana" w:eastAsia="Times New Roman" w:hAnsi="Verdana" w:cs="Times New Roman"/>
          <w:b/>
          <w:sz w:val="24"/>
          <w:szCs w:val="24"/>
          <w:highlight w:val="yellow"/>
          <w:lang w:eastAsia="it-IT"/>
        </w:rPr>
        <w:t>La r. moderna</w:t>
      </w:r>
      <w:bookmarkEnd w:id="2"/>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t xml:space="preserve">La r. teatrale moderna </w:t>
      </w:r>
      <w:r w:rsidRPr="00F3148B">
        <w:rPr>
          <w:rFonts w:ascii="Verdana" w:eastAsia="Times New Roman" w:hAnsi="Verdana" w:cs="Times New Roman"/>
          <w:sz w:val="24"/>
          <w:szCs w:val="24"/>
          <w:highlight w:val="green"/>
          <w:lang w:eastAsia="it-IT"/>
        </w:rPr>
        <w:t>data al 1870</w:t>
      </w:r>
      <w:r w:rsidRPr="00CB4505">
        <w:rPr>
          <w:rFonts w:ascii="Verdana" w:eastAsia="Times New Roman" w:hAnsi="Verdana" w:cs="Times New Roman"/>
          <w:sz w:val="24"/>
          <w:szCs w:val="24"/>
          <w:lang w:eastAsia="it-IT"/>
        </w:rPr>
        <w:t xml:space="preserve">, quando il duca Giorgio di </w:t>
      </w:r>
      <w:hyperlink r:id="rId17" w:history="1">
        <w:proofErr w:type="spellStart"/>
        <w:r w:rsidRPr="00CB4505">
          <w:rPr>
            <w:rStyle w:val="Collegamentoipertestuale"/>
            <w:rFonts w:ascii="Verdana" w:eastAsia="Times New Roman" w:hAnsi="Verdana" w:cs="Times New Roman"/>
            <w:color w:val="auto"/>
            <w:sz w:val="24"/>
            <w:szCs w:val="24"/>
            <w:lang w:eastAsia="it-IT"/>
          </w:rPr>
          <w:t>Meiningen</w:t>
        </w:r>
        <w:proofErr w:type="spellEnd"/>
      </w:hyperlink>
      <w:r w:rsidRPr="00CB4505">
        <w:rPr>
          <w:rFonts w:ascii="Verdana" w:eastAsia="Times New Roman" w:hAnsi="Verdana" w:cs="Times New Roman"/>
          <w:sz w:val="24"/>
          <w:szCs w:val="24"/>
          <w:lang w:eastAsia="it-IT"/>
        </w:rPr>
        <w:t xml:space="preserve">, riprendendo il discorso di Goethe sull’esecuzione d’insieme, ispirò l’allestimento degli spettacoli ad alcuni principi fondamentali: </w:t>
      </w:r>
      <w:r w:rsidRPr="00986408">
        <w:rPr>
          <w:rFonts w:ascii="Verdana" w:eastAsia="Times New Roman" w:hAnsi="Verdana" w:cs="Times New Roman"/>
          <w:sz w:val="24"/>
          <w:szCs w:val="24"/>
          <w:highlight w:val="green"/>
          <w:lang w:eastAsia="it-IT"/>
        </w:rPr>
        <w:t>rivelazione del testo, fedeltà storica, cura dell’insieme.</w:t>
      </w:r>
      <w:r w:rsidRPr="00CB4505">
        <w:rPr>
          <w:rFonts w:ascii="Verdana" w:eastAsia="Times New Roman" w:hAnsi="Verdana" w:cs="Times New Roman"/>
          <w:sz w:val="24"/>
          <w:szCs w:val="24"/>
          <w:lang w:eastAsia="it-IT"/>
        </w:rPr>
        <w:t xml:space="preserve"> L’esperienza di </w:t>
      </w:r>
      <w:proofErr w:type="spellStart"/>
      <w:r w:rsidRPr="00CB4505">
        <w:rPr>
          <w:rFonts w:ascii="Verdana" w:eastAsia="Times New Roman" w:hAnsi="Verdana" w:cs="Times New Roman"/>
          <w:sz w:val="24"/>
          <w:szCs w:val="24"/>
          <w:lang w:eastAsia="it-IT"/>
        </w:rPr>
        <w:t>Meiningen</w:t>
      </w:r>
      <w:proofErr w:type="spellEnd"/>
      <w:r w:rsidRPr="00CB4505">
        <w:rPr>
          <w:rFonts w:ascii="Verdana" w:eastAsia="Times New Roman" w:hAnsi="Verdana" w:cs="Times New Roman"/>
          <w:sz w:val="24"/>
          <w:szCs w:val="24"/>
          <w:lang w:eastAsia="it-IT"/>
        </w:rPr>
        <w:t xml:space="preserve"> fu tenuta presente da </w:t>
      </w:r>
      <w:hyperlink r:id="rId18" w:history="1">
        <w:r w:rsidRPr="00986408">
          <w:rPr>
            <w:rStyle w:val="Collegamentoipertestuale"/>
            <w:rFonts w:ascii="Verdana" w:eastAsia="Times New Roman" w:hAnsi="Verdana" w:cs="Times New Roman"/>
            <w:color w:val="auto"/>
            <w:sz w:val="24"/>
            <w:szCs w:val="24"/>
            <w:highlight w:val="cyan"/>
            <w:lang w:eastAsia="it-IT"/>
          </w:rPr>
          <w:t>A. Antoine</w:t>
        </w:r>
      </w:hyperlink>
      <w:r w:rsidRPr="00CB4505">
        <w:rPr>
          <w:rFonts w:ascii="Verdana" w:eastAsia="Times New Roman" w:hAnsi="Verdana" w:cs="Times New Roman"/>
          <w:sz w:val="24"/>
          <w:szCs w:val="24"/>
          <w:lang w:eastAsia="it-IT"/>
        </w:rPr>
        <w:t xml:space="preserve"> in Francia, dalla </w:t>
      </w:r>
      <w:proofErr w:type="spellStart"/>
      <w:r w:rsidRPr="00986408">
        <w:rPr>
          <w:rFonts w:ascii="Verdana" w:eastAsia="Times New Roman" w:hAnsi="Verdana" w:cs="Times New Roman"/>
          <w:sz w:val="24"/>
          <w:szCs w:val="24"/>
          <w:highlight w:val="cyan"/>
          <w:lang w:eastAsia="it-IT"/>
        </w:rPr>
        <w:t>Freie</w:t>
      </w:r>
      <w:proofErr w:type="spellEnd"/>
      <w:r w:rsidRPr="00986408">
        <w:rPr>
          <w:rFonts w:ascii="Verdana" w:eastAsia="Times New Roman" w:hAnsi="Verdana" w:cs="Times New Roman"/>
          <w:sz w:val="24"/>
          <w:szCs w:val="24"/>
          <w:highlight w:val="cyan"/>
          <w:lang w:eastAsia="it-IT"/>
        </w:rPr>
        <w:t xml:space="preserve"> </w:t>
      </w:r>
      <w:proofErr w:type="spellStart"/>
      <w:r w:rsidRPr="00986408">
        <w:rPr>
          <w:rFonts w:ascii="Verdana" w:eastAsia="Times New Roman" w:hAnsi="Verdana" w:cs="Times New Roman"/>
          <w:sz w:val="24"/>
          <w:szCs w:val="24"/>
          <w:highlight w:val="cyan"/>
          <w:lang w:eastAsia="it-IT"/>
        </w:rPr>
        <w:t>Bühne</w:t>
      </w:r>
      <w:proofErr w:type="spellEnd"/>
      <w:r w:rsidRPr="00CB4505">
        <w:rPr>
          <w:rFonts w:ascii="Verdana" w:eastAsia="Times New Roman" w:hAnsi="Verdana" w:cs="Times New Roman"/>
          <w:sz w:val="24"/>
          <w:szCs w:val="24"/>
          <w:lang w:eastAsia="it-IT"/>
        </w:rPr>
        <w:t xml:space="preserve"> a </w:t>
      </w:r>
      <w:hyperlink r:id="rId19" w:history="1">
        <w:r w:rsidRPr="00CB4505">
          <w:rPr>
            <w:rStyle w:val="Collegamentoipertestuale"/>
            <w:rFonts w:ascii="Verdana" w:eastAsia="Times New Roman" w:hAnsi="Verdana" w:cs="Times New Roman"/>
            <w:color w:val="auto"/>
            <w:sz w:val="24"/>
            <w:szCs w:val="24"/>
            <w:lang w:eastAsia="it-IT"/>
          </w:rPr>
          <w:t>Berlino</w:t>
        </w:r>
      </w:hyperlink>
      <w:r w:rsidRPr="00CB4505">
        <w:rPr>
          <w:rFonts w:ascii="Verdana" w:eastAsia="Times New Roman" w:hAnsi="Verdana" w:cs="Times New Roman"/>
          <w:sz w:val="24"/>
          <w:szCs w:val="24"/>
          <w:lang w:eastAsia="it-IT"/>
        </w:rPr>
        <w:t xml:space="preserve">, da K.S. </w:t>
      </w:r>
      <w:r w:rsidRPr="00986408">
        <w:rPr>
          <w:rFonts w:ascii="Verdana" w:eastAsia="Times New Roman" w:hAnsi="Verdana" w:cs="Times New Roman"/>
          <w:sz w:val="24"/>
          <w:szCs w:val="24"/>
          <w:highlight w:val="cyan"/>
          <w:lang w:eastAsia="it-IT"/>
        </w:rPr>
        <w:t>Stanislavskij</w:t>
      </w:r>
      <w:r w:rsidRPr="00CB4505">
        <w:rPr>
          <w:rFonts w:ascii="Verdana" w:eastAsia="Times New Roman" w:hAnsi="Verdana" w:cs="Times New Roman"/>
          <w:sz w:val="24"/>
          <w:szCs w:val="24"/>
          <w:lang w:eastAsia="it-IT"/>
        </w:rPr>
        <w:t xml:space="preserve"> in </w:t>
      </w:r>
      <w:hyperlink r:id="rId20" w:history="1">
        <w:r w:rsidRPr="00CB4505">
          <w:rPr>
            <w:rStyle w:val="Collegamentoipertestuale"/>
            <w:rFonts w:ascii="Verdana" w:eastAsia="Times New Roman" w:hAnsi="Verdana" w:cs="Times New Roman"/>
            <w:color w:val="auto"/>
            <w:sz w:val="24"/>
            <w:szCs w:val="24"/>
            <w:lang w:eastAsia="it-IT"/>
          </w:rPr>
          <w:t>Russia</w:t>
        </w:r>
      </w:hyperlink>
      <w:r w:rsidRPr="00CB4505">
        <w:rPr>
          <w:rFonts w:ascii="Verdana" w:eastAsia="Times New Roman" w:hAnsi="Verdana" w:cs="Times New Roman"/>
          <w:sz w:val="24"/>
          <w:szCs w:val="24"/>
          <w:lang w:eastAsia="it-IT"/>
        </w:rPr>
        <w:t xml:space="preserve">. Il primo fondò a Parigi il </w:t>
      </w:r>
      <w:r w:rsidRPr="00986408">
        <w:rPr>
          <w:rFonts w:ascii="Verdana" w:eastAsia="Times New Roman" w:hAnsi="Verdana" w:cs="Times New Roman"/>
          <w:sz w:val="24"/>
          <w:szCs w:val="24"/>
          <w:highlight w:val="green"/>
          <w:lang w:eastAsia="it-IT"/>
        </w:rPr>
        <w:t>Théâtre Libre,</w:t>
      </w:r>
      <w:r w:rsidRPr="00CB4505">
        <w:rPr>
          <w:rFonts w:ascii="Verdana" w:eastAsia="Times New Roman" w:hAnsi="Verdana" w:cs="Times New Roman"/>
          <w:sz w:val="24"/>
          <w:szCs w:val="24"/>
          <w:lang w:eastAsia="it-IT"/>
        </w:rPr>
        <w:t xml:space="preserve"> ispirandosi al naturalismo imperante: gli attori, al contrario dei loro predecessori romantici, recitavano con intonazioni parlate, come se il pubblico in sala non esistesse, mentre la scenografia cercava di rendere nel miglior modo la modestia e spesso lo squallore degli interni rappresentati, servendosi anche di suppellettili e oggetti di uso quotidiano. La reazione al naturalismo condusse a importanti riforme registiche, come quella di V.E. </w:t>
      </w:r>
      <w:r w:rsidRPr="00986408">
        <w:rPr>
          <w:rFonts w:ascii="Verdana" w:eastAsia="Times New Roman" w:hAnsi="Verdana" w:cs="Times New Roman"/>
          <w:sz w:val="24"/>
          <w:szCs w:val="24"/>
          <w:highlight w:val="cyan"/>
          <w:lang w:eastAsia="it-IT"/>
        </w:rPr>
        <w:t>Mejerchol</w:t>
      </w:r>
      <w:r w:rsidRPr="00CB4505">
        <w:rPr>
          <w:rFonts w:ascii="Verdana" w:eastAsia="Times New Roman" w:hAnsi="Verdana" w:cs="Times New Roman"/>
          <w:sz w:val="24"/>
          <w:szCs w:val="24"/>
          <w:lang w:eastAsia="it-IT"/>
        </w:rPr>
        <w:t xml:space="preserve">´d, che tolse ogni ornamento alla scena, conformandola a strutture geometriche (costruttivismo), e quella di G.E. </w:t>
      </w:r>
      <w:r w:rsidRPr="00986408">
        <w:rPr>
          <w:rFonts w:ascii="Verdana" w:eastAsia="Times New Roman" w:hAnsi="Verdana" w:cs="Times New Roman"/>
          <w:sz w:val="24"/>
          <w:szCs w:val="24"/>
          <w:highlight w:val="cyan"/>
          <w:lang w:eastAsia="it-IT"/>
        </w:rPr>
        <w:t>Craig</w:t>
      </w:r>
      <w:r w:rsidRPr="00CB4505">
        <w:rPr>
          <w:rFonts w:ascii="Verdana" w:eastAsia="Times New Roman" w:hAnsi="Verdana" w:cs="Times New Roman"/>
          <w:sz w:val="24"/>
          <w:szCs w:val="24"/>
          <w:lang w:eastAsia="it-IT"/>
        </w:rPr>
        <w:t>, che basandosi sull’eterogeneità del corpo dell’attore rispetto agli elementi scenici teorizzò la ‘</w:t>
      </w:r>
      <w:proofErr w:type="spellStart"/>
      <w:r w:rsidRPr="00CB4505">
        <w:rPr>
          <w:rFonts w:ascii="Verdana" w:eastAsia="Times New Roman" w:hAnsi="Verdana" w:cs="Times New Roman"/>
          <w:sz w:val="24"/>
          <w:szCs w:val="24"/>
          <w:lang w:eastAsia="it-IT"/>
        </w:rPr>
        <w:t>supermarionetta</w:t>
      </w:r>
      <w:proofErr w:type="spellEnd"/>
      <w:r w:rsidRPr="00CB4505">
        <w:rPr>
          <w:rFonts w:ascii="Verdana" w:eastAsia="Times New Roman" w:hAnsi="Verdana" w:cs="Times New Roman"/>
          <w:sz w:val="24"/>
          <w:szCs w:val="24"/>
          <w:lang w:eastAsia="it-IT"/>
        </w:rPr>
        <w:t xml:space="preserve">’. Ritorno ai classici e un’essenziale semplicità furono i principi a cui s’ispirò </w:t>
      </w:r>
      <w:hyperlink r:id="rId21" w:history="1">
        <w:r w:rsidRPr="00CB4505">
          <w:rPr>
            <w:rStyle w:val="Collegamentoipertestuale"/>
            <w:rFonts w:ascii="Verdana" w:eastAsia="Times New Roman" w:hAnsi="Verdana" w:cs="Times New Roman"/>
            <w:color w:val="auto"/>
            <w:sz w:val="24"/>
            <w:szCs w:val="24"/>
            <w:lang w:eastAsia="it-IT"/>
          </w:rPr>
          <w:t xml:space="preserve">J. </w:t>
        </w:r>
        <w:r w:rsidRPr="00986408">
          <w:rPr>
            <w:rStyle w:val="Collegamentoipertestuale"/>
            <w:rFonts w:ascii="Verdana" w:eastAsia="Times New Roman" w:hAnsi="Verdana" w:cs="Times New Roman"/>
            <w:color w:val="auto"/>
            <w:sz w:val="24"/>
            <w:szCs w:val="24"/>
            <w:highlight w:val="cyan"/>
            <w:lang w:eastAsia="it-IT"/>
          </w:rPr>
          <w:t>Copeau</w:t>
        </w:r>
      </w:hyperlink>
      <w:r w:rsidRPr="00CB4505">
        <w:rPr>
          <w:rFonts w:ascii="Verdana" w:eastAsia="Times New Roman" w:hAnsi="Verdana" w:cs="Times New Roman"/>
          <w:sz w:val="24"/>
          <w:szCs w:val="24"/>
          <w:lang w:eastAsia="it-IT"/>
        </w:rPr>
        <w:t xml:space="preserve">, fondatore del </w:t>
      </w:r>
      <w:proofErr w:type="spellStart"/>
      <w:r w:rsidRPr="00986408">
        <w:rPr>
          <w:rFonts w:ascii="Verdana" w:eastAsia="Times New Roman" w:hAnsi="Verdana" w:cs="Times New Roman"/>
          <w:sz w:val="24"/>
          <w:szCs w:val="24"/>
          <w:highlight w:val="green"/>
          <w:lang w:eastAsia="it-IT"/>
        </w:rPr>
        <w:t>Vieux-Colombier</w:t>
      </w:r>
      <w:proofErr w:type="spellEnd"/>
      <w:r w:rsidRPr="00986408">
        <w:rPr>
          <w:rFonts w:ascii="Verdana" w:eastAsia="Times New Roman" w:hAnsi="Verdana" w:cs="Times New Roman"/>
          <w:sz w:val="24"/>
          <w:szCs w:val="24"/>
          <w:highlight w:val="green"/>
          <w:lang w:eastAsia="it-IT"/>
        </w:rPr>
        <w:t xml:space="preserve"> (1913) e di una scuola di regia.</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lastRenderedPageBreak/>
        <w:t xml:space="preserve">In </w:t>
      </w:r>
      <w:r w:rsidRPr="00961895">
        <w:rPr>
          <w:rFonts w:ascii="Verdana" w:eastAsia="Times New Roman" w:hAnsi="Verdana" w:cs="Times New Roman"/>
          <w:sz w:val="24"/>
          <w:szCs w:val="24"/>
          <w:highlight w:val="yellow"/>
          <w:lang w:eastAsia="it-IT"/>
        </w:rPr>
        <w:t>Italia</w:t>
      </w:r>
      <w:r w:rsidRPr="00CB4505">
        <w:rPr>
          <w:rFonts w:ascii="Verdana" w:eastAsia="Times New Roman" w:hAnsi="Verdana" w:cs="Times New Roman"/>
          <w:sz w:val="24"/>
          <w:szCs w:val="24"/>
          <w:lang w:eastAsia="it-IT"/>
        </w:rPr>
        <w:t xml:space="preserve">, invece, nello stesso periodo, il regista </w:t>
      </w:r>
      <w:r w:rsidRPr="00961895">
        <w:rPr>
          <w:rFonts w:ascii="Verdana" w:eastAsia="Times New Roman" w:hAnsi="Verdana" w:cs="Times New Roman"/>
          <w:sz w:val="24"/>
          <w:szCs w:val="24"/>
          <w:highlight w:val="green"/>
          <w:lang w:eastAsia="it-IT"/>
        </w:rPr>
        <w:t>non riusciva a imporre la sua funzione e il suo ruolo nei confronti del ‘grande attore’ di estrazione ottocentesca.</w:t>
      </w:r>
      <w:r w:rsidRPr="00CB4505">
        <w:rPr>
          <w:rFonts w:ascii="Verdana" w:eastAsia="Times New Roman" w:hAnsi="Verdana" w:cs="Times New Roman"/>
          <w:sz w:val="24"/>
          <w:szCs w:val="24"/>
          <w:lang w:eastAsia="it-IT"/>
        </w:rPr>
        <w:t xml:space="preserve"> I primi registi veri e propri della scena italiana, con l’eccezione di </w:t>
      </w:r>
      <w:hyperlink r:id="rId22" w:history="1">
        <w:r w:rsidRPr="00CB4505">
          <w:rPr>
            <w:rStyle w:val="Collegamentoipertestuale"/>
            <w:rFonts w:ascii="Verdana" w:eastAsia="Times New Roman" w:hAnsi="Verdana" w:cs="Times New Roman"/>
            <w:color w:val="auto"/>
            <w:sz w:val="24"/>
            <w:szCs w:val="24"/>
            <w:lang w:eastAsia="it-IT"/>
          </w:rPr>
          <w:t>L. Pirandello</w:t>
        </w:r>
      </w:hyperlink>
      <w:r w:rsidRPr="00CB4505">
        <w:rPr>
          <w:rFonts w:ascii="Verdana" w:eastAsia="Times New Roman" w:hAnsi="Verdana" w:cs="Times New Roman"/>
          <w:sz w:val="24"/>
          <w:szCs w:val="24"/>
          <w:lang w:eastAsia="it-IT"/>
        </w:rPr>
        <w:t xml:space="preserve"> (che ancora nel 1925 allestiva il suo teatro e rivendicava l’intera responsabilità della messinscena), del suo assistente </w:t>
      </w:r>
      <w:hyperlink r:id="rId23" w:history="1">
        <w:r w:rsidRPr="00CB4505">
          <w:rPr>
            <w:rStyle w:val="Collegamentoipertestuale"/>
            <w:rFonts w:ascii="Verdana" w:eastAsia="Times New Roman" w:hAnsi="Verdana" w:cs="Times New Roman"/>
            <w:color w:val="auto"/>
            <w:sz w:val="24"/>
            <w:szCs w:val="24"/>
            <w:lang w:eastAsia="it-IT"/>
          </w:rPr>
          <w:t xml:space="preserve">G. </w:t>
        </w:r>
        <w:proofErr w:type="spellStart"/>
        <w:r w:rsidRPr="00CB4505">
          <w:rPr>
            <w:rStyle w:val="Collegamentoipertestuale"/>
            <w:rFonts w:ascii="Verdana" w:eastAsia="Times New Roman" w:hAnsi="Verdana" w:cs="Times New Roman"/>
            <w:color w:val="auto"/>
            <w:sz w:val="24"/>
            <w:szCs w:val="24"/>
            <w:lang w:eastAsia="it-IT"/>
          </w:rPr>
          <w:t>Salvini</w:t>
        </w:r>
        <w:proofErr w:type="spellEnd"/>
      </w:hyperlink>
      <w:r w:rsidRPr="00CB4505">
        <w:rPr>
          <w:rFonts w:ascii="Verdana" w:eastAsia="Times New Roman" w:hAnsi="Verdana" w:cs="Times New Roman"/>
          <w:sz w:val="24"/>
          <w:szCs w:val="24"/>
          <w:lang w:eastAsia="it-IT"/>
        </w:rPr>
        <w:t xml:space="preserve"> e di A.G. Bragaglia, furono due russi, </w:t>
      </w:r>
      <w:hyperlink r:id="rId24" w:history="1">
        <w:r w:rsidRPr="00CB4505">
          <w:rPr>
            <w:rStyle w:val="Collegamentoipertestuale"/>
            <w:rFonts w:ascii="Verdana" w:eastAsia="Times New Roman" w:hAnsi="Verdana" w:cs="Times New Roman"/>
            <w:color w:val="auto"/>
            <w:sz w:val="24"/>
            <w:szCs w:val="24"/>
            <w:lang w:eastAsia="it-IT"/>
          </w:rPr>
          <w:t xml:space="preserve">T. </w:t>
        </w:r>
        <w:proofErr w:type="spellStart"/>
        <w:r w:rsidRPr="00CB4505">
          <w:rPr>
            <w:rStyle w:val="Collegamentoipertestuale"/>
            <w:rFonts w:ascii="Verdana" w:eastAsia="Times New Roman" w:hAnsi="Verdana" w:cs="Times New Roman"/>
            <w:color w:val="auto"/>
            <w:sz w:val="24"/>
            <w:szCs w:val="24"/>
            <w:lang w:eastAsia="it-IT"/>
          </w:rPr>
          <w:t>Pavlova</w:t>
        </w:r>
        <w:proofErr w:type="spellEnd"/>
      </w:hyperlink>
      <w:r w:rsidRPr="00CB4505">
        <w:rPr>
          <w:rFonts w:ascii="Verdana" w:eastAsia="Times New Roman" w:hAnsi="Verdana" w:cs="Times New Roman"/>
          <w:sz w:val="24"/>
          <w:szCs w:val="24"/>
          <w:lang w:eastAsia="it-IT"/>
        </w:rPr>
        <w:t xml:space="preserve"> e P</w:t>
      </w:r>
      <w:r w:rsidR="00961895">
        <w:rPr>
          <w:rFonts w:ascii="Verdana" w:eastAsia="Times New Roman" w:hAnsi="Verdana" w:cs="Times New Roman"/>
          <w:sz w:val="24"/>
          <w:szCs w:val="24"/>
          <w:lang w:eastAsia="it-IT"/>
        </w:rPr>
        <w:t>ietro</w:t>
      </w:r>
      <w:r w:rsidRPr="00CB4505">
        <w:rPr>
          <w:rFonts w:ascii="Verdana" w:eastAsia="Times New Roman" w:hAnsi="Verdana" w:cs="Times New Roman"/>
          <w:sz w:val="24"/>
          <w:szCs w:val="24"/>
          <w:lang w:eastAsia="it-IT"/>
        </w:rPr>
        <w:t xml:space="preserve"> </w:t>
      </w:r>
      <w:proofErr w:type="spellStart"/>
      <w:r w:rsidRPr="00CB4505">
        <w:rPr>
          <w:rFonts w:ascii="Verdana" w:eastAsia="Times New Roman" w:hAnsi="Verdana" w:cs="Times New Roman"/>
          <w:sz w:val="24"/>
          <w:szCs w:val="24"/>
          <w:lang w:eastAsia="it-IT"/>
        </w:rPr>
        <w:t>Sharoff</w:t>
      </w:r>
      <w:proofErr w:type="spellEnd"/>
      <w:r w:rsidRPr="00CB4505">
        <w:rPr>
          <w:rFonts w:ascii="Verdana" w:eastAsia="Times New Roman" w:hAnsi="Verdana" w:cs="Times New Roman"/>
          <w:sz w:val="24"/>
          <w:szCs w:val="24"/>
          <w:lang w:eastAsia="it-IT"/>
        </w:rPr>
        <w:t xml:space="preserve">, entrambi allievi di Stanislavskij. </w:t>
      </w:r>
      <w:r w:rsidRPr="00507F9D">
        <w:rPr>
          <w:rFonts w:ascii="Verdana" w:eastAsia="Times New Roman" w:hAnsi="Verdana" w:cs="Times New Roman"/>
          <w:b/>
          <w:sz w:val="24"/>
          <w:szCs w:val="24"/>
          <w:highlight w:val="green"/>
          <w:lang w:eastAsia="it-IT"/>
        </w:rPr>
        <w:t xml:space="preserve">Il sostantivo regista fu coniato dal linguista </w:t>
      </w:r>
      <w:hyperlink r:id="rId25" w:history="1">
        <w:r w:rsidRPr="00507F9D">
          <w:rPr>
            <w:rStyle w:val="Collegamentoipertestuale"/>
            <w:rFonts w:ascii="Verdana" w:eastAsia="Times New Roman" w:hAnsi="Verdana" w:cs="Times New Roman"/>
            <w:b/>
            <w:color w:val="auto"/>
            <w:sz w:val="24"/>
            <w:szCs w:val="24"/>
            <w:highlight w:val="green"/>
            <w:lang w:eastAsia="it-IT"/>
          </w:rPr>
          <w:t xml:space="preserve">B. </w:t>
        </w:r>
        <w:proofErr w:type="spellStart"/>
        <w:r w:rsidRPr="00507F9D">
          <w:rPr>
            <w:rStyle w:val="Collegamentoipertestuale"/>
            <w:rFonts w:ascii="Verdana" w:eastAsia="Times New Roman" w:hAnsi="Verdana" w:cs="Times New Roman"/>
            <w:b/>
            <w:color w:val="auto"/>
            <w:sz w:val="24"/>
            <w:szCs w:val="24"/>
            <w:highlight w:val="green"/>
            <w:lang w:eastAsia="it-IT"/>
          </w:rPr>
          <w:t>Migliorini</w:t>
        </w:r>
        <w:proofErr w:type="spellEnd"/>
      </w:hyperlink>
      <w:r w:rsidRPr="00507F9D">
        <w:rPr>
          <w:rFonts w:ascii="Verdana" w:eastAsia="Times New Roman" w:hAnsi="Verdana" w:cs="Times New Roman"/>
          <w:b/>
          <w:sz w:val="24"/>
          <w:szCs w:val="24"/>
          <w:highlight w:val="green"/>
          <w:lang w:eastAsia="it-IT"/>
        </w:rPr>
        <w:t xml:space="preserve"> addirittura nel 1932.</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t xml:space="preserve">Molteplici furono i tentativi, dagli anni 1920 fino alla soglie della </w:t>
      </w:r>
      <w:hyperlink r:id="rId26" w:history="1">
        <w:r w:rsidRPr="00CB4505">
          <w:rPr>
            <w:rStyle w:val="Collegamentoipertestuale"/>
            <w:rFonts w:ascii="Verdana" w:eastAsia="Times New Roman" w:hAnsi="Verdana" w:cs="Times New Roman"/>
            <w:color w:val="auto"/>
            <w:sz w:val="24"/>
            <w:szCs w:val="24"/>
            <w:lang w:eastAsia="it-IT"/>
          </w:rPr>
          <w:t>Seconda guerra mondiale</w:t>
        </w:r>
      </w:hyperlink>
      <w:r w:rsidRPr="00CB4505">
        <w:rPr>
          <w:rFonts w:ascii="Verdana" w:eastAsia="Times New Roman" w:hAnsi="Verdana" w:cs="Times New Roman"/>
          <w:sz w:val="24"/>
          <w:szCs w:val="24"/>
          <w:lang w:eastAsia="it-IT"/>
        </w:rPr>
        <w:t xml:space="preserve">, di approfondire e sviluppare le ricerche nate dall’attività dei maggiori registi del primo Novecento. In </w:t>
      </w:r>
      <w:hyperlink r:id="rId27" w:history="1">
        <w:r w:rsidRPr="00F103A4">
          <w:rPr>
            <w:rStyle w:val="Collegamentoipertestuale"/>
            <w:rFonts w:ascii="Verdana" w:eastAsia="Times New Roman" w:hAnsi="Verdana" w:cs="Times New Roman"/>
            <w:color w:val="auto"/>
            <w:sz w:val="24"/>
            <w:szCs w:val="24"/>
            <w:highlight w:val="yellow"/>
            <w:lang w:eastAsia="it-IT"/>
          </w:rPr>
          <w:t>Germania</w:t>
        </w:r>
      </w:hyperlink>
      <w:r w:rsidRPr="00CB4505">
        <w:rPr>
          <w:rFonts w:ascii="Verdana" w:eastAsia="Times New Roman" w:hAnsi="Verdana" w:cs="Times New Roman"/>
          <w:sz w:val="24"/>
          <w:szCs w:val="24"/>
          <w:lang w:eastAsia="it-IT"/>
        </w:rPr>
        <w:t xml:space="preserve">, </w:t>
      </w:r>
      <w:hyperlink r:id="rId28" w:history="1">
        <w:r w:rsidRPr="00CB4505">
          <w:rPr>
            <w:rStyle w:val="Collegamentoipertestuale"/>
            <w:rFonts w:ascii="Verdana" w:eastAsia="Times New Roman" w:hAnsi="Verdana" w:cs="Times New Roman"/>
            <w:color w:val="auto"/>
            <w:sz w:val="24"/>
            <w:szCs w:val="24"/>
            <w:lang w:eastAsia="it-IT"/>
          </w:rPr>
          <w:t>B. Brecht</w:t>
        </w:r>
      </w:hyperlink>
      <w:r w:rsidRPr="00CB4505">
        <w:rPr>
          <w:rFonts w:ascii="Verdana" w:eastAsia="Times New Roman" w:hAnsi="Verdana" w:cs="Times New Roman"/>
          <w:sz w:val="24"/>
          <w:szCs w:val="24"/>
          <w:lang w:eastAsia="it-IT"/>
        </w:rPr>
        <w:t xml:space="preserve"> propose una riforma in senso ‘epico’ del teatro, fondata su una recitazione estraniata e su una regia </w:t>
      </w:r>
      <w:proofErr w:type="spellStart"/>
      <w:r w:rsidRPr="00CB4505">
        <w:rPr>
          <w:rFonts w:ascii="Verdana" w:eastAsia="Times New Roman" w:hAnsi="Verdana" w:cs="Times New Roman"/>
          <w:sz w:val="24"/>
          <w:szCs w:val="24"/>
          <w:lang w:eastAsia="it-IT"/>
        </w:rPr>
        <w:t>antiillusionistica</w:t>
      </w:r>
      <w:proofErr w:type="spellEnd"/>
      <w:r w:rsidRPr="00CB4505">
        <w:rPr>
          <w:rFonts w:ascii="Verdana" w:eastAsia="Times New Roman" w:hAnsi="Verdana" w:cs="Times New Roman"/>
          <w:sz w:val="24"/>
          <w:szCs w:val="24"/>
          <w:lang w:eastAsia="it-IT"/>
        </w:rPr>
        <w:t xml:space="preserve">, mentre in </w:t>
      </w:r>
      <w:r w:rsidRPr="00F103A4">
        <w:rPr>
          <w:rFonts w:ascii="Verdana" w:eastAsia="Times New Roman" w:hAnsi="Verdana" w:cs="Times New Roman"/>
          <w:sz w:val="24"/>
          <w:szCs w:val="24"/>
          <w:highlight w:val="yellow"/>
          <w:lang w:eastAsia="it-IT"/>
        </w:rPr>
        <w:t>Francia</w:t>
      </w:r>
      <w:r w:rsidRPr="00CB4505">
        <w:rPr>
          <w:rFonts w:ascii="Verdana" w:eastAsia="Times New Roman" w:hAnsi="Verdana" w:cs="Times New Roman"/>
          <w:sz w:val="24"/>
          <w:szCs w:val="24"/>
          <w:lang w:eastAsia="it-IT"/>
        </w:rPr>
        <w:t xml:space="preserve"> </w:t>
      </w:r>
      <w:hyperlink r:id="rId29" w:history="1">
        <w:r w:rsidRPr="00F103A4">
          <w:rPr>
            <w:rStyle w:val="Collegamentoipertestuale"/>
            <w:rFonts w:ascii="Verdana" w:eastAsia="Times New Roman" w:hAnsi="Verdana" w:cs="Times New Roman"/>
            <w:color w:val="auto"/>
            <w:sz w:val="24"/>
            <w:szCs w:val="24"/>
            <w:lang w:eastAsia="it-IT"/>
          </w:rPr>
          <w:t>A. Artaud</w:t>
        </w:r>
      </w:hyperlink>
      <w:r w:rsidRPr="00CB4505">
        <w:rPr>
          <w:rFonts w:ascii="Verdana" w:eastAsia="Times New Roman" w:hAnsi="Verdana" w:cs="Times New Roman"/>
          <w:sz w:val="24"/>
          <w:szCs w:val="24"/>
          <w:lang w:eastAsia="it-IT"/>
        </w:rPr>
        <w:t xml:space="preserve"> sperimentava un teatro basato su ritualità dinamica e tensione psichica. Il dopoguerra fu caratterizzato, a partire dagli anni 1950, da un recupero e da una rimeditazione delle più illuminanti esperienze delle avanguardie storiche. Negli </w:t>
      </w:r>
      <w:r w:rsidRPr="00F103A4">
        <w:rPr>
          <w:rFonts w:ascii="Verdana" w:eastAsia="Times New Roman" w:hAnsi="Verdana" w:cs="Times New Roman"/>
          <w:sz w:val="24"/>
          <w:szCs w:val="24"/>
          <w:highlight w:val="yellow"/>
          <w:lang w:eastAsia="it-IT"/>
        </w:rPr>
        <w:t>USA</w:t>
      </w:r>
      <w:r w:rsidRPr="00CB4505">
        <w:rPr>
          <w:rFonts w:ascii="Verdana" w:eastAsia="Times New Roman" w:hAnsi="Verdana" w:cs="Times New Roman"/>
          <w:sz w:val="24"/>
          <w:szCs w:val="24"/>
          <w:lang w:eastAsia="it-IT"/>
        </w:rPr>
        <w:t xml:space="preserve">, il </w:t>
      </w:r>
      <w:hyperlink r:id="rId30" w:history="1">
        <w:r w:rsidRPr="00CB4505">
          <w:rPr>
            <w:rStyle w:val="Collegamentoipertestuale"/>
            <w:rFonts w:ascii="Verdana" w:eastAsia="Times New Roman" w:hAnsi="Verdana" w:cs="Times New Roman"/>
            <w:color w:val="auto"/>
            <w:sz w:val="24"/>
            <w:szCs w:val="24"/>
            <w:lang w:eastAsia="it-IT"/>
          </w:rPr>
          <w:t xml:space="preserve">Living </w:t>
        </w:r>
        <w:proofErr w:type="spellStart"/>
        <w:r w:rsidRPr="00CB4505">
          <w:rPr>
            <w:rStyle w:val="Collegamentoipertestuale"/>
            <w:rFonts w:ascii="Verdana" w:eastAsia="Times New Roman" w:hAnsi="Verdana" w:cs="Times New Roman"/>
            <w:color w:val="auto"/>
            <w:sz w:val="24"/>
            <w:szCs w:val="24"/>
            <w:lang w:eastAsia="it-IT"/>
          </w:rPr>
          <w:t>Theatre</w:t>
        </w:r>
        <w:proofErr w:type="spellEnd"/>
      </w:hyperlink>
      <w:r w:rsidRPr="00CB4505">
        <w:rPr>
          <w:rFonts w:ascii="Verdana" w:eastAsia="Times New Roman" w:hAnsi="Verdana" w:cs="Times New Roman"/>
          <w:sz w:val="24"/>
          <w:szCs w:val="24"/>
          <w:lang w:eastAsia="it-IT"/>
        </w:rPr>
        <w:t xml:space="preserve"> raccolse l’eredità di Artaud, dedicandosi a una pratica scenica collettiva basata soprattutto sul gesto e sulla figurazione coreografica. In </w:t>
      </w:r>
      <w:r w:rsidRPr="00F103A4">
        <w:rPr>
          <w:rFonts w:ascii="Verdana" w:eastAsia="Times New Roman" w:hAnsi="Verdana" w:cs="Times New Roman"/>
          <w:sz w:val="24"/>
          <w:szCs w:val="24"/>
          <w:highlight w:val="yellow"/>
          <w:lang w:eastAsia="it-IT"/>
        </w:rPr>
        <w:t>Polonia</w:t>
      </w:r>
      <w:r w:rsidRPr="00CB4505">
        <w:rPr>
          <w:rFonts w:ascii="Verdana" w:eastAsia="Times New Roman" w:hAnsi="Verdana" w:cs="Times New Roman"/>
          <w:sz w:val="24"/>
          <w:szCs w:val="24"/>
          <w:lang w:eastAsia="it-IT"/>
        </w:rPr>
        <w:t xml:space="preserve">, </w:t>
      </w:r>
      <w:hyperlink r:id="rId31" w:history="1">
        <w:r w:rsidRPr="00CB4505">
          <w:rPr>
            <w:rStyle w:val="Collegamentoipertestuale"/>
            <w:rFonts w:ascii="Verdana" w:eastAsia="Times New Roman" w:hAnsi="Verdana" w:cs="Times New Roman"/>
            <w:color w:val="auto"/>
            <w:sz w:val="24"/>
            <w:szCs w:val="24"/>
            <w:lang w:eastAsia="it-IT"/>
          </w:rPr>
          <w:t>J. Grotowski</w:t>
        </w:r>
      </w:hyperlink>
      <w:r w:rsidRPr="00CB4505">
        <w:rPr>
          <w:rFonts w:ascii="Verdana" w:eastAsia="Times New Roman" w:hAnsi="Verdana" w:cs="Times New Roman"/>
          <w:sz w:val="24"/>
          <w:szCs w:val="24"/>
          <w:lang w:eastAsia="it-IT"/>
        </w:rPr>
        <w:t xml:space="preserve"> teorizzò un ‘teatro povero’ tutto affidato alla corporeità dell’attore e alla sua ascetica espressività. In </w:t>
      </w:r>
      <w:r w:rsidRPr="00F103A4">
        <w:rPr>
          <w:rFonts w:ascii="Verdana" w:eastAsia="Times New Roman" w:hAnsi="Verdana" w:cs="Times New Roman"/>
          <w:sz w:val="24"/>
          <w:szCs w:val="24"/>
          <w:highlight w:val="yellow"/>
          <w:lang w:eastAsia="it-IT"/>
        </w:rPr>
        <w:t>Inghilterra</w:t>
      </w:r>
      <w:r w:rsidRPr="00CB4505">
        <w:rPr>
          <w:rFonts w:ascii="Verdana" w:eastAsia="Times New Roman" w:hAnsi="Verdana" w:cs="Times New Roman"/>
          <w:sz w:val="24"/>
          <w:szCs w:val="24"/>
          <w:lang w:eastAsia="it-IT"/>
        </w:rPr>
        <w:t xml:space="preserve">, </w:t>
      </w:r>
      <w:hyperlink r:id="rId32" w:history="1">
        <w:r w:rsidRPr="00CB4505">
          <w:rPr>
            <w:rStyle w:val="Collegamentoipertestuale"/>
            <w:rFonts w:ascii="Verdana" w:eastAsia="Times New Roman" w:hAnsi="Verdana" w:cs="Times New Roman"/>
            <w:color w:val="auto"/>
            <w:sz w:val="24"/>
            <w:szCs w:val="24"/>
            <w:lang w:eastAsia="it-IT"/>
          </w:rPr>
          <w:t>P. Brook</w:t>
        </w:r>
      </w:hyperlink>
      <w:r w:rsidRPr="00CB4505">
        <w:rPr>
          <w:rFonts w:ascii="Verdana" w:eastAsia="Times New Roman" w:hAnsi="Verdana" w:cs="Times New Roman"/>
          <w:sz w:val="24"/>
          <w:szCs w:val="24"/>
          <w:lang w:eastAsia="it-IT"/>
        </w:rPr>
        <w:t xml:space="preserve"> s’impose con numerosi spettacoli su testi classici e moderni, che da una parte s’ispiravano alle suggestioni di Artaud, dall’altra subivano l’influsso di Grotowski. In </w:t>
      </w:r>
      <w:hyperlink r:id="rId33" w:history="1">
        <w:r w:rsidRPr="00F103A4">
          <w:rPr>
            <w:rStyle w:val="Collegamentoipertestuale"/>
            <w:rFonts w:ascii="Verdana" w:eastAsia="Times New Roman" w:hAnsi="Verdana" w:cs="Times New Roman"/>
            <w:color w:val="auto"/>
            <w:sz w:val="24"/>
            <w:szCs w:val="24"/>
            <w:highlight w:val="yellow"/>
            <w:lang w:eastAsia="it-IT"/>
          </w:rPr>
          <w:t>Svezia</w:t>
        </w:r>
      </w:hyperlink>
      <w:r w:rsidRPr="00CB4505">
        <w:rPr>
          <w:rFonts w:ascii="Verdana" w:eastAsia="Times New Roman" w:hAnsi="Verdana" w:cs="Times New Roman"/>
          <w:sz w:val="24"/>
          <w:szCs w:val="24"/>
          <w:lang w:eastAsia="it-IT"/>
        </w:rPr>
        <w:t xml:space="preserve">, </w:t>
      </w:r>
      <w:hyperlink r:id="rId34" w:history="1">
        <w:r w:rsidRPr="00CB4505">
          <w:rPr>
            <w:rStyle w:val="Collegamentoipertestuale"/>
            <w:rFonts w:ascii="Verdana" w:eastAsia="Times New Roman" w:hAnsi="Verdana" w:cs="Times New Roman"/>
            <w:color w:val="auto"/>
            <w:sz w:val="24"/>
            <w:szCs w:val="24"/>
            <w:lang w:eastAsia="it-IT"/>
          </w:rPr>
          <w:t>I. Bergman</w:t>
        </w:r>
      </w:hyperlink>
      <w:r w:rsidRPr="00CB4505">
        <w:rPr>
          <w:rFonts w:ascii="Verdana" w:eastAsia="Times New Roman" w:hAnsi="Verdana" w:cs="Times New Roman"/>
          <w:sz w:val="24"/>
          <w:szCs w:val="24"/>
          <w:lang w:eastAsia="it-IT"/>
        </w:rPr>
        <w:t xml:space="preserve"> creò spettacoli di grande rilievo per invenzione scenica e rigore espressivo. In </w:t>
      </w:r>
      <w:hyperlink r:id="rId35" w:history="1">
        <w:r w:rsidRPr="00F103A4">
          <w:rPr>
            <w:rStyle w:val="Collegamentoipertestuale"/>
            <w:rFonts w:ascii="Verdana" w:eastAsia="Times New Roman" w:hAnsi="Verdana" w:cs="Times New Roman"/>
            <w:color w:val="auto"/>
            <w:sz w:val="24"/>
            <w:szCs w:val="24"/>
            <w:highlight w:val="yellow"/>
            <w:lang w:eastAsia="it-IT"/>
          </w:rPr>
          <w:t>Norvegia</w:t>
        </w:r>
      </w:hyperlink>
      <w:r w:rsidRPr="00F103A4">
        <w:rPr>
          <w:rFonts w:ascii="Verdana" w:eastAsia="Times New Roman" w:hAnsi="Verdana" w:cs="Times New Roman"/>
          <w:sz w:val="24"/>
          <w:szCs w:val="24"/>
          <w:highlight w:val="yellow"/>
          <w:lang w:eastAsia="it-IT"/>
        </w:rPr>
        <w:t xml:space="preserve"> e </w:t>
      </w:r>
      <w:hyperlink r:id="rId36" w:history="1">
        <w:r w:rsidRPr="00F103A4">
          <w:rPr>
            <w:rStyle w:val="Collegamentoipertestuale"/>
            <w:rFonts w:ascii="Verdana" w:eastAsia="Times New Roman" w:hAnsi="Verdana" w:cs="Times New Roman"/>
            <w:color w:val="auto"/>
            <w:sz w:val="24"/>
            <w:szCs w:val="24"/>
            <w:highlight w:val="yellow"/>
            <w:lang w:eastAsia="it-IT"/>
          </w:rPr>
          <w:t>Danimarca</w:t>
        </w:r>
      </w:hyperlink>
      <w:r w:rsidRPr="00CB4505">
        <w:rPr>
          <w:rFonts w:ascii="Verdana" w:eastAsia="Times New Roman" w:hAnsi="Verdana" w:cs="Times New Roman"/>
          <w:sz w:val="24"/>
          <w:szCs w:val="24"/>
          <w:lang w:eastAsia="it-IT"/>
        </w:rPr>
        <w:t xml:space="preserve">, </w:t>
      </w:r>
      <w:hyperlink r:id="rId37" w:history="1">
        <w:r w:rsidRPr="00CB4505">
          <w:rPr>
            <w:rStyle w:val="Collegamentoipertestuale"/>
            <w:rFonts w:ascii="Verdana" w:eastAsia="Times New Roman" w:hAnsi="Verdana" w:cs="Times New Roman"/>
            <w:color w:val="auto"/>
            <w:sz w:val="24"/>
            <w:szCs w:val="24"/>
            <w:lang w:eastAsia="it-IT"/>
          </w:rPr>
          <w:t>E. Barba</w:t>
        </w:r>
      </w:hyperlink>
      <w:r w:rsidRPr="00CB4505">
        <w:rPr>
          <w:rFonts w:ascii="Verdana" w:eastAsia="Times New Roman" w:hAnsi="Verdana" w:cs="Times New Roman"/>
          <w:sz w:val="24"/>
          <w:szCs w:val="24"/>
          <w:lang w:eastAsia="it-IT"/>
        </w:rPr>
        <w:t xml:space="preserve"> riuscì con l’</w:t>
      </w:r>
      <w:proofErr w:type="spellStart"/>
      <w:r w:rsidRPr="00CB4505">
        <w:rPr>
          <w:rFonts w:ascii="Verdana" w:eastAsia="Times New Roman" w:hAnsi="Verdana" w:cs="Times New Roman"/>
          <w:sz w:val="24"/>
          <w:szCs w:val="24"/>
          <w:lang w:eastAsia="it-IT"/>
        </w:rPr>
        <w:t>Odin</w:t>
      </w:r>
      <w:proofErr w:type="spellEnd"/>
      <w:r w:rsidRPr="00CB4505">
        <w:rPr>
          <w:rFonts w:ascii="Verdana" w:eastAsia="Times New Roman" w:hAnsi="Verdana" w:cs="Times New Roman"/>
          <w:sz w:val="24"/>
          <w:szCs w:val="24"/>
          <w:lang w:eastAsia="it-IT"/>
        </w:rPr>
        <w:t xml:space="preserve"> </w:t>
      </w:r>
      <w:proofErr w:type="spellStart"/>
      <w:r w:rsidRPr="00CB4505">
        <w:rPr>
          <w:rFonts w:ascii="Verdana" w:eastAsia="Times New Roman" w:hAnsi="Verdana" w:cs="Times New Roman"/>
          <w:sz w:val="24"/>
          <w:szCs w:val="24"/>
          <w:lang w:eastAsia="it-IT"/>
        </w:rPr>
        <w:t>Teater</w:t>
      </w:r>
      <w:proofErr w:type="spellEnd"/>
      <w:r w:rsidRPr="00CB4505">
        <w:rPr>
          <w:rFonts w:ascii="Verdana" w:eastAsia="Times New Roman" w:hAnsi="Verdana" w:cs="Times New Roman"/>
          <w:sz w:val="24"/>
          <w:szCs w:val="24"/>
          <w:lang w:eastAsia="it-IT"/>
        </w:rPr>
        <w:t xml:space="preserve"> a dare saggi originalissimi (</w:t>
      </w:r>
      <w:proofErr w:type="spellStart"/>
      <w:r w:rsidRPr="00CB4505">
        <w:rPr>
          <w:rFonts w:ascii="Verdana" w:eastAsia="Times New Roman" w:hAnsi="Verdana" w:cs="Times New Roman"/>
          <w:i/>
          <w:iCs/>
          <w:sz w:val="24"/>
          <w:szCs w:val="24"/>
          <w:lang w:eastAsia="it-IT"/>
        </w:rPr>
        <w:t>Ferai</w:t>
      </w:r>
      <w:proofErr w:type="spellEnd"/>
      <w:r w:rsidRPr="00CB4505">
        <w:rPr>
          <w:rFonts w:ascii="Verdana" w:eastAsia="Times New Roman" w:hAnsi="Verdana" w:cs="Times New Roman"/>
          <w:sz w:val="24"/>
          <w:szCs w:val="24"/>
          <w:lang w:eastAsia="it-IT"/>
        </w:rPr>
        <w:t>) di allestimenti scenici compiuti con minimi mezzi fuori dal palcoscenico tradizionale.</w:t>
      </w:r>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201C05">
        <w:rPr>
          <w:rFonts w:ascii="Verdana" w:eastAsia="Times New Roman" w:hAnsi="Verdana" w:cs="Times New Roman"/>
          <w:sz w:val="24"/>
          <w:szCs w:val="24"/>
          <w:highlight w:val="yellow"/>
          <w:lang w:eastAsia="it-IT"/>
        </w:rPr>
        <w:t>Nell’Italia del dopoguerra</w:t>
      </w:r>
      <w:r w:rsidRPr="00CB4505">
        <w:rPr>
          <w:rFonts w:ascii="Verdana" w:eastAsia="Times New Roman" w:hAnsi="Verdana" w:cs="Times New Roman"/>
          <w:sz w:val="24"/>
          <w:szCs w:val="24"/>
          <w:lang w:eastAsia="it-IT"/>
        </w:rPr>
        <w:t xml:space="preserve"> alcuni registi, come </w:t>
      </w:r>
      <w:hyperlink r:id="rId38" w:history="1">
        <w:r w:rsidRPr="00CB4505">
          <w:rPr>
            <w:rStyle w:val="Collegamentoipertestuale"/>
            <w:rFonts w:ascii="Verdana" w:eastAsia="Times New Roman" w:hAnsi="Verdana" w:cs="Times New Roman"/>
            <w:color w:val="auto"/>
            <w:sz w:val="24"/>
            <w:szCs w:val="24"/>
            <w:lang w:eastAsia="it-IT"/>
          </w:rPr>
          <w:t>O. Costa</w:t>
        </w:r>
      </w:hyperlink>
      <w:r w:rsidRPr="00CB4505">
        <w:rPr>
          <w:rFonts w:ascii="Verdana" w:eastAsia="Times New Roman" w:hAnsi="Verdana" w:cs="Times New Roman"/>
          <w:sz w:val="24"/>
          <w:szCs w:val="24"/>
          <w:lang w:eastAsia="it-IT"/>
        </w:rPr>
        <w:t xml:space="preserve">, </w:t>
      </w:r>
      <w:hyperlink r:id="rId39" w:history="1">
        <w:r w:rsidRPr="00CB4505">
          <w:rPr>
            <w:rStyle w:val="Collegamentoipertestuale"/>
            <w:rFonts w:ascii="Verdana" w:eastAsia="Times New Roman" w:hAnsi="Verdana" w:cs="Times New Roman"/>
            <w:color w:val="auto"/>
            <w:sz w:val="24"/>
            <w:szCs w:val="24"/>
            <w:lang w:eastAsia="it-IT"/>
          </w:rPr>
          <w:t>E. Giannini</w:t>
        </w:r>
      </w:hyperlink>
      <w:r w:rsidRPr="00CB4505">
        <w:rPr>
          <w:rFonts w:ascii="Verdana" w:eastAsia="Times New Roman" w:hAnsi="Verdana" w:cs="Times New Roman"/>
          <w:sz w:val="24"/>
          <w:szCs w:val="24"/>
          <w:lang w:eastAsia="it-IT"/>
        </w:rPr>
        <w:t xml:space="preserve">, </w:t>
      </w:r>
      <w:hyperlink r:id="rId40" w:history="1">
        <w:r w:rsidRPr="00CB4505">
          <w:rPr>
            <w:rStyle w:val="Collegamentoipertestuale"/>
            <w:rFonts w:ascii="Verdana" w:eastAsia="Times New Roman" w:hAnsi="Verdana" w:cs="Times New Roman"/>
            <w:color w:val="auto"/>
            <w:sz w:val="24"/>
            <w:szCs w:val="24"/>
            <w:lang w:eastAsia="it-IT"/>
          </w:rPr>
          <w:t>L. Visconti</w:t>
        </w:r>
      </w:hyperlink>
      <w:r w:rsidRPr="00CB4505">
        <w:rPr>
          <w:rFonts w:ascii="Verdana" w:eastAsia="Times New Roman" w:hAnsi="Verdana" w:cs="Times New Roman"/>
          <w:sz w:val="24"/>
          <w:szCs w:val="24"/>
          <w:lang w:eastAsia="it-IT"/>
        </w:rPr>
        <w:t xml:space="preserve">, </w:t>
      </w:r>
      <w:hyperlink r:id="rId41" w:history="1">
        <w:r w:rsidRPr="00CB4505">
          <w:rPr>
            <w:rStyle w:val="Collegamentoipertestuale"/>
            <w:rFonts w:ascii="Verdana" w:eastAsia="Times New Roman" w:hAnsi="Verdana" w:cs="Times New Roman"/>
            <w:color w:val="auto"/>
            <w:sz w:val="24"/>
            <w:szCs w:val="24"/>
            <w:lang w:eastAsia="it-IT"/>
          </w:rPr>
          <w:t>G. Strehler</w:t>
        </w:r>
      </w:hyperlink>
      <w:r w:rsidRPr="00CB4505">
        <w:rPr>
          <w:rFonts w:ascii="Verdana" w:eastAsia="Times New Roman" w:hAnsi="Verdana" w:cs="Times New Roman"/>
          <w:sz w:val="24"/>
          <w:szCs w:val="24"/>
          <w:lang w:eastAsia="it-IT"/>
        </w:rPr>
        <w:t xml:space="preserve">, rivoluzionarono la concezione fondata sulla centralità dell’interprete, realizzando spettacoli nei quali la r. si esprimeva al massimo livello nei suoi aspetti </w:t>
      </w:r>
      <w:r w:rsidRPr="00201C05">
        <w:rPr>
          <w:rFonts w:ascii="Verdana" w:eastAsia="Times New Roman" w:hAnsi="Verdana" w:cs="Times New Roman"/>
          <w:sz w:val="24"/>
          <w:szCs w:val="24"/>
          <w:highlight w:val="green"/>
          <w:lang w:eastAsia="it-IT"/>
        </w:rPr>
        <w:t>d’interpretazione critica del testo e di concertazione dei molteplici fattori che convergevano nell’evento teatrale.</w:t>
      </w:r>
      <w:r w:rsidRPr="00CB4505">
        <w:rPr>
          <w:rFonts w:ascii="Verdana" w:eastAsia="Times New Roman" w:hAnsi="Verdana" w:cs="Times New Roman"/>
          <w:sz w:val="24"/>
          <w:szCs w:val="24"/>
          <w:lang w:eastAsia="it-IT"/>
        </w:rPr>
        <w:t xml:space="preserve"> A partire dagli anni 1960, si affermò la figura del </w:t>
      </w:r>
      <w:r w:rsidRPr="00201C05">
        <w:rPr>
          <w:rFonts w:ascii="Verdana" w:eastAsia="Times New Roman" w:hAnsi="Verdana" w:cs="Times New Roman"/>
          <w:sz w:val="24"/>
          <w:szCs w:val="24"/>
          <w:highlight w:val="green"/>
          <w:lang w:eastAsia="it-IT"/>
        </w:rPr>
        <w:t>regista-demiurgo</w:t>
      </w:r>
      <w:r w:rsidRPr="00CB4505">
        <w:rPr>
          <w:rFonts w:ascii="Verdana" w:eastAsia="Times New Roman" w:hAnsi="Verdana" w:cs="Times New Roman"/>
          <w:sz w:val="24"/>
          <w:szCs w:val="24"/>
          <w:lang w:eastAsia="it-IT"/>
        </w:rPr>
        <w:t>, vero e proprio dittatore dello spettacolo con l’ambizione di rendere congeniale ai suoi gusti e alle sue intenzioni ideologiche qualsiasi opera teatrale (</w:t>
      </w:r>
      <w:hyperlink r:id="rId42" w:history="1">
        <w:r w:rsidRPr="00CB4505">
          <w:rPr>
            <w:rStyle w:val="Collegamentoipertestuale"/>
            <w:rFonts w:ascii="Verdana" w:eastAsia="Times New Roman" w:hAnsi="Verdana" w:cs="Times New Roman"/>
            <w:color w:val="auto"/>
            <w:sz w:val="24"/>
            <w:szCs w:val="24"/>
            <w:lang w:eastAsia="it-IT"/>
          </w:rPr>
          <w:t>L. Ronconi</w:t>
        </w:r>
      </w:hyperlink>
      <w:r w:rsidRPr="00CB4505">
        <w:rPr>
          <w:rFonts w:ascii="Verdana" w:eastAsia="Times New Roman" w:hAnsi="Verdana" w:cs="Times New Roman"/>
          <w:sz w:val="24"/>
          <w:szCs w:val="24"/>
          <w:lang w:eastAsia="it-IT"/>
        </w:rPr>
        <w:t xml:space="preserve"> nell’</w:t>
      </w:r>
      <w:r w:rsidRPr="00CB4505">
        <w:rPr>
          <w:rFonts w:ascii="Verdana" w:eastAsia="Times New Roman" w:hAnsi="Verdana" w:cs="Times New Roman"/>
          <w:i/>
          <w:iCs/>
          <w:sz w:val="24"/>
          <w:szCs w:val="24"/>
          <w:lang w:eastAsia="it-IT"/>
        </w:rPr>
        <w:t>Orlando furioso</w:t>
      </w:r>
      <w:r w:rsidRPr="00CB4505">
        <w:rPr>
          <w:rFonts w:ascii="Verdana" w:eastAsia="Times New Roman" w:hAnsi="Verdana" w:cs="Times New Roman"/>
          <w:sz w:val="24"/>
          <w:szCs w:val="24"/>
          <w:lang w:eastAsia="it-IT"/>
        </w:rPr>
        <w:t>, 1969).</w:t>
      </w:r>
      <w:bookmarkStart w:id="3" w:name="_GoBack"/>
      <w:bookmarkEnd w:id="3"/>
    </w:p>
    <w:p w:rsidR="00CB4505" w:rsidRPr="00CB4505" w:rsidRDefault="00CB4505" w:rsidP="00CB4505">
      <w:pPr>
        <w:spacing w:before="100" w:beforeAutospacing="1" w:after="100" w:afterAutospacing="1" w:line="240" w:lineRule="auto"/>
        <w:jc w:val="both"/>
        <w:rPr>
          <w:rFonts w:ascii="Verdana" w:eastAsia="Times New Roman" w:hAnsi="Verdana" w:cs="Times New Roman"/>
          <w:sz w:val="24"/>
          <w:szCs w:val="24"/>
          <w:lang w:eastAsia="it-IT"/>
        </w:rPr>
      </w:pPr>
      <w:r w:rsidRPr="00CB4505">
        <w:rPr>
          <w:rFonts w:ascii="Verdana" w:eastAsia="Times New Roman" w:hAnsi="Verdana" w:cs="Times New Roman"/>
          <w:sz w:val="24"/>
          <w:szCs w:val="24"/>
          <w:lang w:eastAsia="it-IT"/>
        </w:rPr>
        <w:t xml:space="preserve">Nell’ultima parte del secolo l’egemonia della r. è andata progressivamente attenuandosi di fronte al recupero d’importanza degli interpreti, in una scena più attenta che in passato al consenso del pubblico. </w:t>
      </w:r>
    </w:p>
    <w:p w:rsidR="00C27999" w:rsidRPr="00CB4505" w:rsidRDefault="00C27999" w:rsidP="00C27999">
      <w:pPr>
        <w:spacing w:before="100" w:beforeAutospacing="1" w:after="100" w:afterAutospacing="1" w:line="240" w:lineRule="auto"/>
        <w:jc w:val="both"/>
        <w:rPr>
          <w:rFonts w:ascii="Verdana" w:eastAsia="Times New Roman" w:hAnsi="Verdana" w:cs="Times New Roman"/>
          <w:sz w:val="24"/>
          <w:szCs w:val="24"/>
          <w:lang w:eastAsia="it-IT"/>
        </w:rPr>
      </w:pPr>
    </w:p>
    <w:p w:rsidR="00C27999" w:rsidRPr="00C27999" w:rsidRDefault="00C27999" w:rsidP="00C27999">
      <w:pPr>
        <w:spacing w:before="100" w:beforeAutospacing="1" w:after="100" w:afterAutospacing="1" w:line="240" w:lineRule="auto"/>
        <w:jc w:val="both"/>
        <w:rPr>
          <w:rFonts w:ascii="Verdana" w:eastAsia="Times New Roman" w:hAnsi="Verdana" w:cs="Times New Roman"/>
          <w:sz w:val="24"/>
          <w:szCs w:val="24"/>
          <w:lang w:eastAsia="it-IT"/>
        </w:rPr>
      </w:pPr>
    </w:p>
    <w:p w:rsidR="00CF0461" w:rsidRPr="00CB4505" w:rsidRDefault="00CF0461" w:rsidP="00C27999">
      <w:pPr>
        <w:jc w:val="both"/>
        <w:rPr>
          <w:rFonts w:ascii="Verdana" w:hAnsi="Verdana"/>
        </w:rPr>
      </w:pPr>
    </w:p>
    <w:sectPr w:rsidR="00CF0461" w:rsidRPr="00CB4505">
      <w:headerReference w:type="default" r:id="rI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8B" w:rsidRDefault="00C0678B" w:rsidP="00F1781F">
      <w:pPr>
        <w:spacing w:after="0" w:line="240" w:lineRule="auto"/>
      </w:pPr>
      <w:r>
        <w:separator/>
      </w:r>
    </w:p>
  </w:endnote>
  <w:endnote w:type="continuationSeparator" w:id="0">
    <w:p w:rsidR="00C0678B" w:rsidRDefault="00C0678B" w:rsidP="00F1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8B" w:rsidRDefault="00C0678B" w:rsidP="00F1781F">
      <w:pPr>
        <w:spacing w:after="0" w:line="240" w:lineRule="auto"/>
      </w:pPr>
      <w:r>
        <w:separator/>
      </w:r>
    </w:p>
  </w:footnote>
  <w:footnote w:type="continuationSeparator" w:id="0">
    <w:p w:rsidR="00C0678B" w:rsidRDefault="00C0678B" w:rsidP="00F17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46255"/>
      <w:docPartObj>
        <w:docPartGallery w:val="Page Numbers (Top of Page)"/>
        <w:docPartUnique/>
      </w:docPartObj>
    </w:sdtPr>
    <w:sdtContent>
      <w:p w:rsidR="00F1781F" w:rsidRDefault="00F1781F">
        <w:pPr>
          <w:pStyle w:val="Intestazione"/>
          <w:jc w:val="center"/>
        </w:pPr>
        <w:r>
          <w:fldChar w:fldCharType="begin"/>
        </w:r>
        <w:r>
          <w:instrText>PAGE   \* MERGEFORMAT</w:instrText>
        </w:r>
        <w:r>
          <w:fldChar w:fldCharType="separate"/>
        </w:r>
        <w:r w:rsidR="00201C05">
          <w:rPr>
            <w:noProof/>
          </w:rPr>
          <w:t>4</w:t>
        </w:r>
        <w:r>
          <w:fldChar w:fldCharType="end"/>
        </w:r>
      </w:p>
    </w:sdtContent>
  </w:sdt>
  <w:p w:rsidR="00F1781F" w:rsidRDefault="00F178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50B5"/>
    <w:multiLevelType w:val="multilevel"/>
    <w:tmpl w:val="CE5C2F1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7FA47840"/>
    <w:multiLevelType w:val="multilevel"/>
    <w:tmpl w:val="2710E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99"/>
    <w:rsid w:val="001232BF"/>
    <w:rsid w:val="001B53B7"/>
    <w:rsid w:val="00201C05"/>
    <w:rsid w:val="002C3605"/>
    <w:rsid w:val="00507F9D"/>
    <w:rsid w:val="00961895"/>
    <w:rsid w:val="00986408"/>
    <w:rsid w:val="00A9697A"/>
    <w:rsid w:val="00C0678B"/>
    <w:rsid w:val="00C27999"/>
    <w:rsid w:val="00CB4505"/>
    <w:rsid w:val="00CF0461"/>
    <w:rsid w:val="00E06003"/>
    <w:rsid w:val="00E6430A"/>
    <w:rsid w:val="00F103A4"/>
    <w:rsid w:val="00F1781F"/>
    <w:rsid w:val="00F31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4505"/>
    <w:rPr>
      <w:color w:val="0000FF" w:themeColor="hyperlink"/>
      <w:u w:val="single"/>
    </w:rPr>
  </w:style>
  <w:style w:type="paragraph" w:styleId="Paragrafoelenco">
    <w:name w:val="List Paragraph"/>
    <w:basedOn w:val="Normale"/>
    <w:uiPriority w:val="34"/>
    <w:qFormat/>
    <w:rsid w:val="00CB4505"/>
    <w:pPr>
      <w:ind w:left="720"/>
      <w:contextualSpacing/>
    </w:pPr>
  </w:style>
  <w:style w:type="paragraph" w:styleId="Intestazione">
    <w:name w:val="header"/>
    <w:basedOn w:val="Normale"/>
    <w:link w:val="IntestazioneCarattere"/>
    <w:uiPriority w:val="99"/>
    <w:unhideWhenUsed/>
    <w:rsid w:val="00F178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81F"/>
  </w:style>
  <w:style w:type="paragraph" w:styleId="Pidipagina">
    <w:name w:val="footer"/>
    <w:basedOn w:val="Normale"/>
    <w:link w:val="PidipaginaCarattere"/>
    <w:uiPriority w:val="99"/>
    <w:unhideWhenUsed/>
    <w:rsid w:val="00F178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4505"/>
    <w:rPr>
      <w:color w:val="0000FF" w:themeColor="hyperlink"/>
      <w:u w:val="single"/>
    </w:rPr>
  </w:style>
  <w:style w:type="paragraph" w:styleId="Paragrafoelenco">
    <w:name w:val="List Paragraph"/>
    <w:basedOn w:val="Normale"/>
    <w:uiPriority w:val="34"/>
    <w:qFormat/>
    <w:rsid w:val="00CB4505"/>
    <w:pPr>
      <w:ind w:left="720"/>
      <w:contextualSpacing/>
    </w:pPr>
  </w:style>
  <w:style w:type="paragraph" w:styleId="Intestazione">
    <w:name w:val="header"/>
    <w:basedOn w:val="Normale"/>
    <w:link w:val="IntestazioneCarattere"/>
    <w:uiPriority w:val="99"/>
    <w:unhideWhenUsed/>
    <w:rsid w:val="00F178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81F"/>
  </w:style>
  <w:style w:type="paragraph" w:styleId="Pidipagina">
    <w:name w:val="footer"/>
    <w:basedOn w:val="Normale"/>
    <w:link w:val="PidipaginaCarattere"/>
    <w:uiPriority w:val="99"/>
    <w:unhideWhenUsed/>
    <w:rsid w:val="00F178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077">
      <w:bodyDiv w:val="1"/>
      <w:marLeft w:val="0"/>
      <w:marRight w:val="0"/>
      <w:marTop w:val="0"/>
      <w:marBottom w:val="0"/>
      <w:divBdr>
        <w:top w:val="none" w:sz="0" w:space="0" w:color="auto"/>
        <w:left w:val="none" w:sz="0" w:space="0" w:color="auto"/>
        <w:bottom w:val="none" w:sz="0" w:space="0" w:color="auto"/>
        <w:right w:val="none" w:sz="0" w:space="0" w:color="auto"/>
      </w:divBdr>
      <w:divsChild>
        <w:div w:id="1444570366">
          <w:marLeft w:val="0"/>
          <w:marRight w:val="0"/>
          <w:marTop w:val="0"/>
          <w:marBottom w:val="0"/>
          <w:divBdr>
            <w:top w:val="none" w:sz="0" w:space="0" w:color="auto"/>
            <w:left w:val="none" w:sz="0" w:space="0" w:color="auto"/>
            <w:bottom w:val="none" w:sz="0" w:space="0" w:color="auto"/>
            <w:right w:val="none" w:sz="0" w:space="0" w:color="auto"/>
          </w:divBdr>
          <w:divsChild>
            <w:div w:id="1616788249">
              <w:marLeft w:val="0"/>
              <w:marRight w:val="0"/>
              <w:marTop w:val="0"/>
              <w:marBottom w:val="0"/>
              <w:divBdr>
                <w:top w:val="none" w:sz="0" w:space="0" w:color="auto"/>
                <w:left w:val="none" w:sz="0" w:space="0" w:color="auto"/>
                <w:bottom w:val="none" w:sz="0" w:space="0" w:color="auto"/>
                <w:right w:val="none" w:sz="0" w:space="0" w:color="auto"/>
              </w:divBdr>
              <w:divsChild>
                <w:div w:id="3305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7737">
      <w:bodyDiv w:val="1"/>
      <w:marLeft w:val="0"/>
      <w:marRight w:val="0"/>
      <w:marTop w:val="0"/>
      <w:marBottom w:val="0"/>
      <w:divBdr>
        <w:top w:val="none" w:sz="0" w:space="0" w:color="auto"/>
        <w:left w:val="none" w:sz="0" w:space="0" w:color="auto"/>
        <w:bottom w:val="none" w:sz="0" w:space="0" w:color="auto"/>
        <w:right w:val="none" w:sz="0" w:space="0" w:color="auto"/>
      </w:divBdr>
      <w:divsChild>
        <w:div w:id="822891780">
          <w:marLeft w:val="0"/>
          <w:marRight w:val="0"/>
          <w:marTop w:val="0"/>
          <w:marBottom w:val="0"/>
          <w:divBdr>
            <w:top w:val="none" w:sz="0" w:space="0" w:color="auto"/>
            <w:left w:val="none" w:sz="0" w:space="0" w:color="auto"/>
            <w:bottom w:val="none" w:sz="0" w:space="0" w:color="auto"/>
            <w:right w:val="none" w:sz="0" w:space="0" w:color="auto"/>
          </w:divBdr>
          <w:divsChild>
            <w:div w:id="311064896">
              <w:marLeft w:val="0"/>
              <w:marRight w:val="0"/>
              <w:marTop w:val="0"/>
              <w:marBottom w:val="0"/>
              <w:divBdr>
                <w:top w:val="none" w:sz="0" w:space="0" w:color="auto"/>
                <w:left w:val="none" w:sz="0" w:space="0" w:color="auto"/>
                <w:bottom w:val="none" w:sz="0" w:space="0" w:color="auto"/>
                <w:right w:val="none" w:sz="0" w:space="0" w:color="auto"/>
              </w:divBdr>
              <w:divsChild>
                <w:div w:id="28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2887">
      <w:bodyDiv w:val="1"/>
      <w:marLeft w:val="0"/>
      <w:marRight w:val="0"/>
      <w:marTop w:val="0"/>
      <w:marBottom w:val="0"/>
      <w:divBdr>
        <w:top w:val="none" w:sz="0" w:space="0" w:color="auto"/>
        <w:left w:val="none" w:sz="0" w:space="0" w:color="auto"/>
        <w:bottom w:val="none" w:sz="0" w:space="0" w:color="auto"/>
        <w:right w:val="none" w:sz="0" w:space="0" w:color="auto"/>
      </w:divBdr>
      <w:divsChild>
        <w:div w:id="827942902">
          <w:marLeft w:val="0"/>
          <w:marRight w:val="0"/>
          <w:marTop w:val="0"/>
          <w:marBottom w:val="0"/>
          <w:divBdr>
            <w:top w:val="none" w:sz="0" w:space="0" w:color="auto"/>
            <w:left w:val="none" w:sz="0" w:space="0" w:color="auto"/>
            <w:bottom w:val="none" w:sz="0" w:space="0" w:color="auto"/>
            <w:right w:val="none" w:sz="0" w:space="0" w:color="auto"/>
          </w:divBdr>
          <w:divsChild>
            <w:div w:id="1041902806">
              <w:marLeft w:val="0"/>
              <w:marRight w:val="0"/>
              <w:marTop w:val="0"/>
              <w:marBottom w:val="0"/>
              <w:divBdr>
                <w:top w:val="none" w:sz="0" w:space="0" w:color="auto"/>
                <w:left w:val="none" w:sz="0" w:space="0" w:color="auto"/>
                <w:bottom w:val="none" w:sz="0" w:space="0" w:color="auto"/>
                <w:right w:val="none" w:sz="0" w:space="0" w:color="auto"/>
              </w:divBdr>
              <w:divsChild>
                <w:div w:id="1000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sChild>
        <w:div w:id="1368334588">
          <w:marLeft w:val="0"/>
          <w:marRight w:val="0"/>
          <w:marTop w:val="0"/>
          <w:marBottom w:val="0"/>
          <w:divBdr>
            <w:top w:val="none" w:sz="0" w:space="0" w:color="auto"/>
            <w:left w:val="none" w:sz="0" w:space="0" w:color="auto"/>
            <w:bottom w:val="none" w:sz="0" w:space="0" w:color="auto"/>
            <w:right w:val="none" w:sz="0" w:space="0" w:color="auto"/>
          </w:divBdr>
          <w:divsChild>
            <w:div w:id="1792047982">
              <w:marLeft w:val="0"/>
              <w:marRight w:val="0"/>
              <w:marTop w:val="0"/>
              <w:marBottom w:val="0"/>
              <w:divBdr>
                <w:top w:val="none" w:sz="0" w:space="0" w:color="auto"/>
                <w:left w:val="none" w:sz="0" w:space="0" w:color="auto"/>
                <w:bottom w:val="none" w:sz="0" w:space="0" w:color="auto"/>
                <w:right w:val="none" w:sz="0" w:space="0" w:color="auto"/>
              </w:divBdr>
              <w:divsChild>
                <w:div w:id="602615357">
                  <w:marLeft w:val="0"/>
                  <w:marRight w:val="0"/>
                  <w:marTop w:val="0"/>
                  <w:marBottom w:val="0"/>
                  <w:divBdr>
                    <w:top w:val="none" w:sz="0" w:space="0" w:color="auto"/>
                    <w:left w:val="none" w:sz="0" w:space="0" w:color="auto"/>
                    <w:bottom w:val="none" w:sz="0" w:space="0" w:color="auto"/>
                    <w:right w:val="none" w:sz="0" w:space="0" w:color="auto"/>
                  </w:divBdr>
                  <w:divsChild>
                    <w:div w:id="1671760116">
                      <w:marLeft w:val="0"/>
                      <w:marRight w:val="0"/>
                      <w:marTop w:val="0"/>
                      <w:marBottom w:val="0"/>
                      <w:divBdr>
                        <w:top w:val="none" w:sz="0" w:space="0" w:color="auto"/>
                        <w:left w:val="none" w:sz="0" w:space="0" w:color="auto"/>
                        <w:bottom w:val="none" w:sz="0" w:space="0" w:color="auto"/>
                        <w:right w:val="none" w:sz="0" w:space="0" w:color="auto"/>
                      </w:divBdr>
                      <w:divsChild>
                        <w:div w:id="1473863979">
                          <w:marLeft w:val="0"/>
                          <w:marRight w:val="0"/>
                          <w:marTop w:val="0"/>
                          <w:marBottom w:val="0"/>
                          <w:divBdr>
                            <w:top w:val="none" w:sz="0" w:space="0" w:color="auto"/>
                            <w:left w:val="none" w:sz="0" w:space="0" w:color="auto"/>
                            <w:bottom w:val="none" w:sz="0" w:space="0" w:color="auto"/>
                            <w:right w:val="none" w:sz="0" w:space="0" w:color="auto"/>
                          </w:divBdr>
                          <w:divsChild>
                            <w:div w:id="14305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eschilo/" TargetMode="External"/><Relationship Id="rId13" Type="http://schemas.openxmlformats.org/officeDocument/2006/relationships/hyperlink" Target="http://www.treccani.it/enciclopedia/italia/" TargetMode="External"/><Relationship Id="rId18" Type="http://schemas.openxmlformats.org/officeDocument/2006/relationships/hyperlink" Target="http://www.treccani.it/enciclopedia/andre-antoine/" TargetMode="External"/><Relationship Id="rId26" Type="http://schemas.openxmlformats.org/officeDocument/2006/relationships/hyperlink" Target="http://www.treccani.it/enciclopedia/seconda-guerra-mondiale/" TargetMode="External"/><Relationship Id="rId39" Type="http://schemas.openxmlformats.org/officeDocument/2006/relationships/hyperlink" Target="http://www.treccani.it/enciclopedia/ettore-giannini/" TargetMode="External"/><Relationship Id="rId3" Type="http://schemas.microsoft.com/office/2007/relationships/stylesWithEffects" Target="stylesWithEffects.xml"/><Relationship Id="rId21" Type="http://schemas.openxmlformats.org/officeDocument/2006/relationships/hyperlink" Target="http://www.treccani.it/enciclopedia/jacques-copeau/" TargetMode="External"/><Relationship Id="rId34" Type="http://schemas.openxmlformats.org/officeDocument/2006/relationships/hyperlink" Target="http://www.treccani.it/enciclopedia/ingrid-bergman/" TargetMode="External"/><Relationship Id="rId42" Type="http://schemas.openxmlformats.org/officeDocument/2006/relationships/hyperlink" Target="http://www.treccani.it/enciclopedia/luca-ronconi/" TargetMode="External"/><Relationship Id="rId7" Type="http://schemas.openxmlformats.org/officeDocument/2006/relationships/endnotes" Target="endnotes.xml"/><Relationship Id="rId12" Type="http://schemas.openxmlformats.org/officeDocument/2006/relationships/hyperlink" Target="http://www.treccani.it/enciclopedia/sacra-rappresentazione/" TargetMode="External"/><Relationship Id="rId17" Type="http://schemas.openxmlformats.org/officeDocument/2006/relationships/hyperlink" Target="http://www.treccani.it/enciclopedia/meiningen/" TargetMode="External"/><Relationship Id="rId25" Type="http://schemas.openxmlformats.org/officeDocument/2006/relationships/hyperlink" Target="http://www.treccani.it/enciclopedia/bruno-migliorini/" TargetMode="External"/><Relationship Id="rId33" Type="http://schemas.openxmlformats.org/officeDocument/2006/relationships/hyperlink" Target="http://www.treccani.it/enciclopedia/svezia/" TargetMode="External"/><Relationship Id="rId38" Type="http://schemas.openxmlformats.org/officeDocument/2006/relationships/hyperlink" Target="http://www.treccani.it/enciclopedia/orazio-costa/" TargetMode="External"/><Relationship Id="rId2" Type="http://schemas.openxmlformats.org/officeDocument/2006/relationships/styles" Target="styles.xml"/><Relationship Id="rId16" Type="http://schemas.openxmlformats.org/officeDocument/2006/relationships/hyperlink" Target="http://www.treccani.it/enciclopedia/vittorio-alfieri/" TargetMode="External"/><Relationship Id="rId20" Type="http://schemas.openxmlformats.org/officeDocument/2006/relationships/hyperlink" Target="http://www.treccani.it/enciclopedia/russia/" TargetMode="External"/><Relationship Id="rId29" Type="http://schemas.openxmlformats.org/officeDocument/2006/relationships/hyperlink" Target="http://www.treccani.it/enciclopedia/antonin-artaud/" TargetMode="External"/><Relationship Id="rId41" Type="http://schemas.openxmlformats.org/officeDocument/2006/relationships/hyperlink" Target="http://www.treccani.it/enciclopedia/giorgio-strehl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eccani.it/enciclopedia/inghilterra/" TargetMode="External"/><Relationship Id="rId24" Type="http://schemas.openxmlformats.org/officeDocument/2006/relationships/hyperlink" Target="http://www.treccani.it/enciclopedia/tatiana-pavlova/" TargetMode="External"/><Relationship Id="rId32" Type="http://schemas.openxmlformats.org/officeDocument/2006/relationships/hyperlink" Target="http://www.treccani.it/enciclopedia/peter-brook/" TargetMode="External"/><Relationship Id="rId37" Type="http://schemas.openxmlformats.org/officeDocument/2006/relationships/hyperlink" Target="http://www.treccani.it/enciclopedia/eugenio-barba/" TargetMode="External"/><Relationship Id="rId40" Type="http://schemas.openxmlformats.org/officeDocument/2006/relationships/hyperlink" Target="http://www.treccani.it/enciclopedia/ludovico-viscont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eccani.it/enciclopedia/carlo-goldoni/" TargetMode="External"/><Relationship Id="rId23" Type="http://schemas.openxmlformats.org/officeDocument/2006/relationships/hyperlink" Target="http://www.treccani.it/enciclopedia/giorgio-salvini/" TargetMode="External"/><Relationship Id="rId28" Type="http://schemas.openxmlformats.org/officeDocument/2006/relationships/hyperlink" Target="http://www.treccani.it/enciclopedia/bertolt-brecht/" TargetMode="External"/><Relationship Id="rId36" Type="http://schemas.openxmlformats.org/officeDocument/2006/relationships/hyperlink" Target="http://www.treccani.it/enciclopedia/danimarca/" TargetMode="External"/><Relationship Id="rId10" Type="http://schemas.openxmlformats.org/officeDocument/2006/relationships/hyperlink" Target="http://www.treccani.it/enciclopedia/europa/" TargetMode="External"/><Relationship Id="rId19" Type="http://schemas.openxmlformats.org/officeDocument/2006/relationships/hyperlink" Target="http://www.treccani.it/enciclopedia/berlino/" TargetMode="External"/><Relationship Id="rId31" Type="http://schemas.openxmlformats.org/officeDocument/2006/relationships/hyperlink" Target="http://www.treccani.it/enciclopedia/jerzy-grotowsk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ccani.it/enciclopedia/giappone/" TargetMode="External"/><Relationship Id="rId14" Type="http://schemas.openxmlformats.org/officeDocument/2006/relationships/hyperlink" Target="http://www.treccani.it/enciclopedia/francia/" TargetMode="External"/><Relationship Id="rId22" Type="http://schemas.openxmlformats.org/officeDocument/2006/relationships/hyperlink" Target="http://www.treccani.it/enciclopedia/luigi-pirandello/" TargetMode="External"/><Relationship Id="rId27" Type="http://schemas.openxmlformats.org/officeDocument/2006/relationships/hyperlink" Target="http://www.treccani.it/enciclopedia/germania/" TargetMode="External"/><Relationship Id="rId30" Type="http://schemas.openxmlformats.org/officeDocument/2006/relationships/hyperlink" Target="http://www.treccani.it/enciclopedia/living-theatre/" TargetMode="External"/><Relationship Id="rId35" Type="http://schemas.openxmlformats.org/officeDocument/2006/relationships/hyperlink" Target="http://www.treccani.it/enciclopedia/norvegia/" TargetMode="External"/><Relationship Id="rId43"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1965</Words>
  <Characters>11203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13</cp:revision>
  <dcterms:created xsi:type="dcterms:W3CDTF">2015-02-27T10:47:00Z</dcterms:created>
  <dcterms:modified xsi:type="dcterms:W3CDTF">2015-02-27T11:55:00Z</dcterms:modified>
</cp:coreProperties>
</file>