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529E" w:rsidRDefault="0092529E" w:rsidP="0092529E">
      <w:pPr>
        <w:widowControl w:val="0"/>
        <w:adjustRightInd w:val="0"/>
        <w:spacing w:before="100" w:beforeAutospacing="1" w:after="100" w:afterAutospacing="1" w:line="360" w:lineRule="auto"/>
        <w:ind w:firstLine="0"/>
        <w:jc w:val="center"/>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SENT. COST. 170/2014</w:t>
      </w:r>
    </w:p>
    <w:p w:rsidR="0092529E" w:rsidRPr="0092529E" w:rsidRDefault="0092529E" w:rsidP="0092529E">
      <w:pPr>
        <w:widowControl w:val="0"/>
        <w:adjustRightInd w:val="0"/>
        <w:spacing w:before="100" w:beforeAutospacing="1" w:after="100" w:afterAutospacing="1" w:line="360" w:lineRule="auto"/>
        <w:ind w:firstLine="0"/>
        <w:jc w:val="center"/>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(Divorzio imposto al transessuale)</w:t>
      </w:r>
    </w:p>
    <w:p w:rsidR="0092529E" w:rsidRPr="0092529E" w:rsidRDefault="0092529E" w:rsidP="0092529E">
      <w:pPr>
        <w:widowControl w:val="0"/>
        <w:adjustRightInd w:val="0"/>
        <w:spacing w:before="100" w:beforeAutospacing="1" w:after="100" w:afterAutospacing="1" w:line="360" w:lineRule="auto"/>
        <w:ind w:firstLine="0"/>
        <w:jc w:val="center"/>
        <w:rPr>
          <w:rFonts w:ascii="Times New Roman" w:eastAsia="Times New Roman" w:hAnsi="Times New Roman" w:cs="Times New Roman"/>
          <w:i/>
          <w:color w:val="000000"/>
          <w:sz w:val="24"/>
          <w:szCs w:val="24"/>
          <w:lang w:eastAsia="it-IT"/>
        </w:rPr>
      </w:pPr>
      <w:r w:rsidRPr="0092529E">
        <w:rPr>
          <w:rFonts w:ascii="Times New Roman" w:eastAsia="Times New Roman" w:hAnsi="Times New Roman" w:cs="Times New Roman"/>
          <w:i/>
          <w:color w:val="000000"/>
          <w:sz w:val="24"/>
          <w:szCs w:val="24"/>
          <w:lang w:eastAsia="it-IT"/>
        </w:rPr>
        <w:t>Considerato in diritto</w:t>
      </w:r>
    </w:p>
    <w:p w:rsidR="0092529E" w:rsidRPr="0092529E" w:rsidRDefault="0092529E" w:rsidP="0092529E">
      <w:pPr>
        <w:widowControl w:val="0"/>
        <w:adjustRightInd w:val="0"/>
        <w:spacing w:before="100" w:beforeAutospacing="1" w:after="100" w:afterAutospacing="1" w:line="360" w:lineRule="auto"/>
        <w:rPr>
          <w:rFonts w:ascii="Times New Roman" w:eastAsia="Times New Roman" w:hAnsi="Times New Roman" w:cs="Times New Roman"/>
          <w:bCs/>
          <w:iCs/>
          <w:color w:val="000000"/>
          <w:sz w:val="24"/>
          <w:szCs w:val="24"/>
          <w:lang w:eastAsia="it-IT"/>
        </w:rPr>
      </w:pPr>
      <w:r w:rsidRPr="0092529E">
        <w:rPr>
          <w:rFonts w:ascii="Times New Roman" w:eastAsia="Times New Roman" w:hAnsi="Times New Roman" w:cs="Times New Roman"/>
          <w:bCs/>
          <w:iCs/>
          <w:color w:val="000000"/>
          <w:sz w:val="24"/>
          <w:szCs w:val="24"/>
          <w:lang w:eastAsia="it-IT"/>
        </w:rPr>
        <w:t xml:space="preserve">1.− Chiamata a decidere sulla questione, al centro del giudizio principale, relativa agli «effetti della pronuncia di rettificazione di sesso su un matrimonio preesistente, regolarmente contratto dal soggetto che ha inteso esercitare il diritto a cambiare identità di genere in corso di vincolo, nell’ipotesi in cui né il medesimo soggetto né il coniuge abbiano intenzione di sciogliere il rapporto coniugale», la </w:t>
      </w:r>
      <w:proofErr w:type="gramStart"/>
      <w:r w:rsidRPr="0092529E">
        <w:rPr>
          <w:rFonts w:ascii="Times New Roman" w:eastAsia="Times New Roman" w:hAnsi="Times New Roman" w:cs="Times New Roman"/>
          <w:bCs/>
          <w:iCs/>
          <w:color w:val="000000"/>
          <w:sz w:val="24"/>
          <w:szCs w:val="24"/>
          <w:lang w:eastAsia="it-IT"/>
        </w:rPr>
        <w:t>Corte di cassazione</w:t>
      </w:r>
      <w:proofErr w:type="gramEnd"/>
      <w:r w:rsidRPr="0092529E">
        <w:rPr>
          <w:rFonts w:ascii="Times New Roman" w:eastAsia="Times New Roman" w:hAnsi="Times New Roman" w:cs="Times New Roman"/>
          <w:bCs/>
          <w:iCs/>
          <w:color w:val="000000"/>
          <w:sz w:val="24"/>
          <w:szCs w:val="24"/>
          <w:lang w:eastAsia="it-IT"/>
        </w:rPr>
        <w:t xml:space="preserve"> dubita che la soluzione al riguardo imposta dall’art. </w:t>
      </w:r>
      <w:proofErr w:type="gramStart"/>
      <w:r w:rsidRPr="0092529E">
        <w:rPr>
          <w:rFonts w:ascii="Times New Roman" w:eastAsia="Times New Roman" w:hAnsi="Times New Roman" w:cs="Times New Roman"/>
          <w:bCs/>
          <w:iCs/>
          <w:color w:val="000000"/>
          <w:sz w:val="24"/>
          <w:szCs w:val="24"/>
          <w:lang w:eastAsia="it-IT"/>
        </w:rPr>
        <w:t>4 della legge 14 aprile 1982, n. 164 (Norme in materia di rettificazione di attribuzione di sesso), non modificata dall’art</w:t>
      </w:r>
      <w:proofErr w:type="gramEnd"/>
      <w:r w:rsidRPr="0092529E">
        <w:rPr>
          <w:rFonts w:ascii="Times New Roman" w:eastAsia="Times New Roman" w:hAnsi="Times New Roman" w:cs="Times New Roman"/>
          <w:bCs/>
          <w:iCs/>
          <w:color w:val="000000"/>
          <w:sz w:val="24"/>
          <w:szCs w:val="24"/>
          <w:lang w:eastAsia="it-IT"/>
        </w:rPr>
        <w:t xml:space="preserve">. </w:t>
      </w:r>
      <w:proofErr w:type="gramStart"/>
      <w:r w:rsidRPr="0092529E">
        <w:rPr>
          <w:rFonts w:ascii="Times New Roman" w:eastAsia="Times New Roman" w:hAnsi="Times New Roman" w:cs="Times New Roman"/>
          <w:bCs/>
          <w:iCs/>
          <w:color w:val="000000"/>
          <w:sz w:val="24"/>
          <w:szCs w:val="24"/>
          <w:lang w:eastAsia="it-IT"/>
        </w:rPr>
        <w:t>7 della successiva legge 6 marzo 1987 n. 74 (Nuove norme sulla disciplina dei casi di scioglimento di matrimonio) e poi confermata dall’art</w:t>
      </w:r>
      <w:proofErr w:type="gramEnd"/>
      <w:r w:rsidRPr="0092529E">
        <w:rPr>
          <w:rFonts w:ascii="Times New Roman" w:eastAsia="Times New Roman" w:hAnsi="Times New Roman" w:cs="Times New Roman"/>
          <w:bCs/>
          <w:iCs/>
          <w:color w:val="000000"/>
          <w:sz w:val="24"/>
          <w:szCs w:val="24"/>
          <w:lang w:eastAsia="it-IT"/>
        </w:rPr>
        <w:t xml:space="preserve">. 31 del decreto legislativo 1 settembre 2011, n. 150 (Disposizioni complementari al codice di procedura civile in materia di riduzione e semplificazione dei procedimenti civili di cognizione, ai sensi dell’articolo </w:t>
      </w:r>
      <w:proofErr w:type="gramStart"/>
      <w:r w:rsidRPr="0092529E">
        <w:rPr>
          <w:rFonts w:ascii="Times New Roman" w:eastAsia="Times New Roman" w:hAnsi="Times New Roman" w:cs="Times New Roman"/>
          <w:bCs/>
          <w:iCs/>
          <w:color w:val="000000"/>
          <w:sz w:val="24"/>
          <w:szCs w:val="24"/>
          <w:lang w:eastAsia="it-IT"/>
        </w:rPr>
        <w:t>54</w:t>
      </w:r>
      <w:proofErr w:type="gramEnd"/>
      <w:r w:rsidRPr="0092529E">
        <w:rPr>
          <w:rFonts w:ascii="Times New Roman" w:eastAsia="Times New Roman" w:hAnsi="Times New Roman" w:cs="Times New Roman"/>
          <w:bCs/>
          <w:iCs/>
          <w:color w:val="000000"/>
          <w:sz w:val="24"/>
          <w:szCs w:val="24"/>
          <w:lang w:eastAsia="it-IT"/>
        </w:rPr>
        <w:t xml:space="preserve"> della legge 18 giugno 2009, n. 69), non applicabile in causa </w:t>
      </w:r>
      <w:proofErr w:type="spellStart"/>
      <w:r w:rsidRPr="0092529E">
        <w:rPr>
          <w:rFonts w:ascii="Times New Roman" w:eastAsia="Times New Roman" w:hAnsi="Times New Roman" w:cs="Times New Roman"/>
          <w:bCs/>
          <w:i/>
          <w:iCs/>
          <w:color w:val="000000"/>
          <w:sz w:val="24"/>
          <w:szCs w:val="24"/>
          <w:lang w:eastAsia="it-IT"/>
        </w:rPr>
        <w:t>ratione</w:t>
      </w:r>
      <w:proofErr w:type="spellEnd"/>
      <w:r w:rsidRPr="0092529E">
        <w:rPr>
          <w:rFonts w:ascii="Times New Roman" w:eastAsia="Times New Roman" w:hAnsi="Times New Roman" w:cs="Times New Roman"/>
          <w:bCs/>
          <w:i/>
          <w:iCs/>
          <w:color w:val="000000"/>
          <w:sz w:val="24"/>
          <w:szCs w:val="24"/>
          <w:lang w:eastAsia="it-IT"/>
        </w:rPr>
        <w:t xml:space="preserve"> </w:t>
      </w:r>
      <w:proofErr w:type="spellStart"/>
      <w:r w:rsidRPr="0092529E">
        <w:rPr>
          <w:rFonts w:ascii="Times New Roman" w:eastAsia="Times New Roman" w:hAnsi="Times New Roman" w:cs="Times New Roman"/>
          <w:bCs/>
          <w:i/>
          <w:iCs/>
          <w:color w:val="000000"/>
          <w:sz w:val="24"/>
          <w:szCs w:val="24"/>
          <w:lang w:eastAsia="it-IT"/>
        </w:rPr>
        <w:t>temporis</w:t>
      </w:r>
      <w:proofErr w:type="spellEnd"/>
      <w:r w:rsidRPr="0092529E">
        <w:rPr>
          <w:rFonts w:ascii="Times New Roman" w:eastAsia="Times New Roman" w:hAnsi="Times New Roman" w:cs="Times New Roman"/>
          <w:bCs/>
          <w:i/>
          <w:iCs/>
          <w:color w:val="000000"/>
          <w:sz w:val="24"/>
          <w:szCs w:val="24"/>
          <w:lang w:eastAsia="it-IT"/>
        </w:rPr>
        <w:t xml:space="preserve"> </w:t>
      </w:r>
      <w:r w:rsidRPr="0092529E">
        <w:rPr>
          <w:rFonts w:ascii="Times New Roman" w:eastAsia="Times New Roman" w:hAnsi="Times New Roman" w:cs="Times New Roman"/>
          <w:bCs/>
          <w:iCs/>
          <w:color w:val="000000"/>
          <w:sz w:val="24"/>
          <w:szCs w:val="24"/>
          <w:lang w:eastAsia="it-IT"/>
        </w:rPr>
        <w:t>– la soluzione, cioè, di collegare alla sentenza di rettificazione di sesso del coniuge l’effetto automatico di scioglimento del matrimonio – realizzi un bilanciamento adeguato tra l’interesse dello Stato a mantenere fermo il modello eterosessuale del matrimonio ed i contrapposti diritti maturati dai due coniugi nel contesto della precedente vita di coppia.</w:t>
      </w:r>
    </w:p>
    <w:p w:rsidR="0092529E" w:rsidRPr="0092529E" w:rsidRDefault="0092529E" w:rsidP="0092529E">
      <w:pPr>
        <w:widowControl w:val="0"/>
        <w:adjustRightInd w:val="0"/>
        <w:spacing w:before="100" w:beforeAutospacing="1" w:after="100" w:afterAutospacing="1" w:line="360" w:lineRule="auto"/>
        <w:rPr>
          <w:rFonts w:ascii="Times New Roman" w:eastAsia="Times New Roman" w:hAnsi="Times New Roman" w:cs="Times New Roman"/>
          <w:bCs/>
          <w:iCs/>
          <w:color w:val="000000"/>
          <w:sz w:val="24"/>
          <w:szCs w:val="24"/>
          <w:lang w:eastAsia="it-IT"/>
        </w:rPr>
      </w:pPr>
      <w:r w:rsidRPr="0092529E">
        <w:rPr>
          <w:rFonts w:ascii="Times New Roman" w:eastAsia="Times New Roman" w:hAnsi="Times New Roman" w:cs="Times New Roman"/>
          <w:bCs/>
          <w:iCs/>
          <w:color w:val="000000"/>
          <w:sz w:val="24"/>
          <w:szCs w:val="24"/>
          <w:lang w:eastAsia="it-IT"/>
        </w:rPr>
        <w:t xml:space="preserve">Il cosiddetto “divorzio imposto” – introdotto dalla normativa censurata </w:t>
      </w:r>
      <w:proofErr w:type="gramStart"/>
      <w:r w:rsidRPr="0092529E">
        <w:rPr>
          <w:rFonts w:ascii="Times New Roman" w:eastAsia="Times New Roman" w:hAnsi="Times New Roman" w:cs="Times New Roman"/>
          <w:bCs/>
          <w:iCs/>
          <w:color w:val="000000"/>
          <w:sz w:val="24"/>
          <w:szCs w:val="24"/>
          <w:lang w:eastAsia="it-IT"/>
        </w:rPr>
        <w:t>(</w:t>
      </w:r>
      <w:proofErr w:type="gramEnd"/>
      <w:r w:rsidRPr="0092529E">
        <w:rPr>
          <w:rFonts w:ascii="Times New Roman" w:eastAsia="Times New Roman" w:hAnsi="Times New Roman" w:cs="Times New Roman"/>
          <w:bCs/>
          <w:iCs/>
          <w:color w:val="000000"/>
          <w:sz w:val="24"/>
          <w:szCs w:val="24"/>
          <w:lang w:eastAsia="it-IT"/>
        </w:rPr>
        <w:t xml:space="preserve">l’art. </w:t>
      </w:r>
      <w:proofErr w:type="gramStart"/>
      <w:r w:rsidRPr="0092529E">
        <w:rPr>
          <w:rFonts w:ascii="Times New Roman" w:eastAsia="Times New Roman" w:hAnsi="Times New Roman" w:cs="Times New Roman"/>
          <w:bCs/>
          <w:iCs/>
          <w:color w:val="000000"/>
          <w:sz w:val="24"/>
          <w:szCs w:val="24"/>
          <w:lang w:eastAsia="it-IT"/>
        </w:rPr>
        <w:t>4 ed il connesso art</w:t>
      </w:r>
      <w:proofErr w:type="gramEnd"/>
      <w:r w:rsidRPr="0092529E">
        <w:rPr>
          <w:rFonts w:ascii="Times New Roman" w:eastAsia="Times New Roman" w:hAnsi="Times New Roman" w:cs="Times New Roman"/>
          <w:bCs/>
          <w:iCs/>
          <w:color w:val="000000"/>
          <w:sz w:val="24"/>
          <w:szCs w:val="24"/>
          <w:lang w:eastAsia="it-IT"/>
        </w:rPr>
        <w:t xml:space="preserve">. 2 della legge n. 164 del 1982) – sconterebbe, infatti, ad avviso della Corte rimettente, un </w:t>
      </w:r>
      <w:r w:rsidRPr="0092529E">
        <w:rPr>
          <w:rFonts w:ascii="Times New Roman" w:eastAsia="Times New Roman" w:hAnsi="Times New Roman" w:cs="Times New Roman"/>
          <w:bCs/>
          <w:i/>
          <w:iCs/>
          <w:color w:val="000000"/>
          <w:sz w:val="24"/>
          <w:szCs w:val="24"/>
          <w:lang w:eastAsia="it-IT"/>
        </w:rPr>
        <w:t>deficit</w:t>
      </w:r>
      <w:r w:rsidRPr="0092529E">
        <w:rPr>
          <w:rFonts w:ascii="Times New Roman" w:eastAsia="Times New Roman" w:hAnsi="Times New Roman" w:cs="Times New Roman"/>
          <w:bCs/>
          <w:iCs/>
          <w:color w:val="000000"/>
          <w:sz w:val="24"/>
          <w:szCs w:val="24"/>
          <w:lang w:eastAsia="it-IT"/>
        </w:rPr>
        <w:t xml:space="preserve"> di tutela, risolventesi nel sacrificio indiscriminato, in assenza di strumenti compensativi, «del diritto di autodeterminarsi nelle scelte </w:t>
      </w:r>
      <w:proofErr w:type="gramStart"/>
      <w:r w:rsidRPr="0092529E">
        <w:rPr>
          <w:rFonts w:ascii="Times New Roman" w:eastAsia="Times New Roman" w:hAnsi="Times New Roman" w:cs="Times New Roman"/>
          <w:bCs/>
          <w:iCs/>
          <w:color w:val="000000"/>
          <w:sz w:val="24"/>
          <w:szCs w:val="24"/>
          <w:lang w:eastAsia="it-IT"/>
        </w:rPr>
        <w:t>relative all’</w:t>
      </w:r>
      <w:proofErr w:type="gramEnd"/>
      <w:r w:rsidRPr="0092529E">
        <w:rPr>
          <w:rFonts w:ascii="Times New Roman" w:eastAsia="Times New Roman" w:hAnsi="Times New Roman" w:cs="Times New Roman"/>
          <w:bCs/>
          <w:iCs/>
          <w:color w:val="000000"/>
          <w:sz w:val="24"/>
          <w:szCs w:val="24"/>
          <w:lang w:eastAsia="it-IT"/>
        </w:rPr>
        <w:t>identità personale, di cui la sfera sessuale esprime un carattere costitutivo; del diritto alla conservazione della preesistente dimensione relazionale, quando essa assuma i caratteri della stabilità e continuità propri del vincolo coniugale; del diritto a non essere ingiustificatamente discriminati rispetto a tutte le altre coppie coniugate, alle quali è riconosciuta la possibilità di scelta in ordine al divorzio; del diritto dell’altro coniuge di scegliere se continuare la relazione coniugale».</w:t>
      </w:r>
    </w:p>
    <w:p w:rsidR="0092529E" w:rsidRPr="0092529E" w:rsidRDefault="0092529E" w:rsidP="0092529E">
      <w:pPr>
        <w:widowControl w:val="0"/>
        <w:adjustRightInd w:val="0"/>
        <w:spacing w:before="100" w:beforeAutospacing="1" w:after="100" w:afterAutospacing="1" w:line="360" w:lineRule="auto"/>
        <w:rPr>
          <w:rFonts w:ascii="Times New Roman" w:eastAsia="Times New Roman" w:hAnsi="Times New Roman" w:cs="Times New Roman"/>
          <w:bCs/>
          <w:iCs/>
          <w:color w:val="000000"/>
          <w:sz w:val="24"/>
          <w:szCs w:val="24"/>
          <w:lang w:eastAsia="it-IT"/>
        </w:rPr>
      </w:pPr>
      <w:r w:rsidRPr="0092529E">
        <w:rPr>
          <w:rFonts w:ascii="Times New Roman" w:eastAsia="Times New Roman" w:hAnsi="Times New Roman" w:cs="Times New Roman"/>
          <w:bCs/>
          <w:iCs/>
          <w:color w:val="000000"/>
          <w:sz w:val="24"/>
          <w:szCs w:val="24"/>
          <w:lang w:eastAsia="it-IT"/>
        </w:rPr>
        <w:t xml:space="preserve">Da qui, in particolare, il denunciato contrasto dell’art. 4 e, per quanto rileva, dell’art. 2 della legge n. 164 del 1982 con gli artt. </w:t>
      </w:r>
      <w:proofErr w:type="gramStart"/>
      <w:r w:rsidRPr="0092529E">
        <w:rPr>
          <w:rFonts w:ascii="Times New Roman" w:eastAsia="Times New Roman" w:hAnsi="Times New Roman" w:cs="Times New Roman"/>
          <w:bCs/>
          <w:iCs/>
          <w:color w:val="000000"/>
          <w:sz w:val="24"/>
          <w:szCs w:val="24"/>
          <w:lang w:eastAsia="it-IT"/>
        </w:rPr>
        <w:t>2</w:t>
      </w:r>
      <w:proofErr w:type="gramEnd"/>
      <w:r w:rsidRPr="0092529E">
        <w:rPr>
          <w:rFonts w:ascii="Times New Roman" w:eastAsia="Times New Roman" w:hAnsi="Times New Roman" w:cs="Times New Roman"/>
          <w:bCs/>
          <w:iCs/>
          <w:color w:val="000000"/>
          <w:sz w:val="24"/>
          <w:szCs w:val="24"/>
          <w:lang w:eastAsia="it-IT"/>
        </w:rPr>
        <w:t xml:space="preserve">, 3 e 29 </w:t>
      </w:r>
      <w:proofErr w:type="spellStart"/>
      <w:r w:rsidRPr="0092529E">
        <w:rPr>
          <w:rFonts w:ascii="Times New Roman" w:eastAsia="Times New Roman" w:hAnsi="Times New Roman" w:cs="Times New Roman"/>
          <w:bCs/>
          <w:iCs/>
          <w:color w:val="000000"/>
          <w:sz w:val="24"/>
          <w:szCs w:val="24"/>
          <w:lang w:eastAsia="it-IT"/>
        </w:rPr>
        <w:t>Cost</w:t>
      </w:r>
      <w:proofErr w:type="spellEnd"/>
      <w:r w:rsidRPr="0092529E">
        <w:rPr>
          <w:rFonts w:ascii="Times New Roman" w:eastAsia="Times New Roman" w:hAnsi="Times New Roman" w:cs="Times New Roman"/>
          <w:bCs/>
          <w:iCs/>
          <w:color w:val="000000"/>
          <w:sz w:val="24"/>
          <w:szCs w:val="24"/>
          <w:lang w:eastAsia="it-IT"/>
        </w:rPr>
        <w:t xml:space="preserve">., e con gli artt. 8 e 12 della Convenzione europea per la salvaguardia dei diritti dell’uomo e delle libertà fondamentali, firmata a Roma il 4 novembre 1950, evocati come norme interposte agli effetti della ulteriore violazione degli artt. 10, primo </w:t>
      </w:r>
      <w:r w:rsidRPr="0092529E">
        <w:rPr>
          <w:rFonts w:ascii="Times New Roman" w:eastAsia="Times New Roman" w:hAnsi="Times New Roman" w:cs="Times New Roman"/>
          <w:bCs/>
          <w:iCs/>
          <w:color w:val="000000"/>
          <w:sz w:val="24"/>
          <w:szCs w:val="24"/>
          <w:lang w:eastAsia="it-IT"/>
        </w:rPr>
        <w:lastRenderedPageBreak/>
        <w:t xml:space="preserve">comma, e 117, primo comma, </w:t>
      </w:r>
      <w:proofErr w:type="spellStart"/>
      <w:r w:rsidRPr="0092529E">
        <w:rPr>
          <w:rFonts w:ascii="Times New Roman" w:eastAsia="Times New Roman" w:hAnsi="Times New Roman" w:cs="Times New Roman"/>
          <w:bCs/>
          <w:iCs/>
          <w:color w:val="000000"/>
          <w:sz w:val="24"/>
          <w:szCs w:val="24"/>
          <w:lang w:eastAsia="it-IT"/>
        </w:rPr>
        <w:t>Cost</w:t>
      </w:r>
      <w:proofErr w:type="spellEnd"/>
      <w:r w:rsidRPr="0092529E">
        <w:rPr>
          <w:rFonts w:ascii="Times New Roman" w:eastAsia="Times New Roman" w:hAnsi="Times New Roman" w:cs="Times New Roman"/>
          <w:bCs/>
          <w:iCs/>
          <w:color w:val="000000"/>
          <w:sz w:val="24"/>
          <w:szCs w:val="24"/>
          <w:lang w:eastAsia="it-IT"/>
        </w:rPr>
        <w:t xml:space="preserve">. e la prospettazione del </w:t>
      </w:r>
      <w:r w:rsidRPr="0092529E">
        <w:rPr>
          <w:rFonts w:ascii="Times New Roman" w:eastAsia="Times New Roman" w:hAnsi="Times New Roman" w:cs="Times New Roman"/>
          <w:bCs/>
          <w:i/>
          <w:iCs/>
          <w:color w:val="000000"/>
          <w:sz w:val="24"/>
          <w:szCs w:val="24"/>
          <w:lang w:eastAsia="it-IT"/>
        </w:rPr>
        <w:t>vulnus</w:t>
      </w:r>
      <w:r w:rsidRPr="0092529E">
        <w:rPr>
          <w:rFonts w:ascii="Times New Roman" w:eastAsia="Times New Roman" w:hAnsi="Times New Roman" w:cs="Times New Roman"/>
          <w:bCs/>
          <w:iCs/>
          <w:color w:val="000000"/>
          <w:sz w:val="24"/>
          <w:szCs w:val="24"/>
          <w:lang w:eastAsia="it-IT"/>
        </w:rPr>
        <w:t xml:space="preserve"> che si assume arrecato dagli artt. 2 e 4 della legge n. 164 del 1982 all’art. 24 </w:t>
      </w:r>
      <w:proofErr w:type="spellStart"/>
      <w:r w:rsidRPr="0092529E">
        <w:rPr>
          <w:rFonts w:ascii="Times New Roman" w:eastAsia="Times New Roman" w:hAnsi="Times New Roman" w:cs="Times New Roman"/>
          <w:bCs/>
          <w:iCs/>
          <w:color w:val="000000"/>
          <w:sz w:val="24"/>
          <w:szCs w:val="24"/>
          <w:lang w:eastAsia="it-IT"/>
        </w:rPr>
        <w:t>Cost</w:t>
      </w:r>
      <w:proofErr w:type="spellEnd"/>
      <w:r w:rsidRPr="0092529E">
        <w:rPr>
          <w:rFonts w:ascii="Times New Roman" w:eastAsia="Times New Roman" w:hAnsi="Times New Roman" w:cs="Times New Roman"/>
          <w:bCs/>
          <w:iCs/>
          <w:color w:val="000000"/>
          <w:sz w:val="24"/>
          <w:szCs w:val="24"/>
          <w:lang w:eastAsia="it-IT"/>
        </w:rPr>
        <w:t>.</w:t>
      </w:r>
    </w:p>
    <w:p w:rsidR="0092529E" w:rsidRPr="0092529E" w:rsidRDefault="0092529E" w:rsidP="0092529E">
      <w:pPr>
        <w:widowControl w:val="0"/>
        <w:adjustRightInd w:val="0"/>
        <w:spacing w:before="100" w:beforeAutospacing="1" w:after="100" w:afterAutospacing="1" w:line="360" w:lineRule="auto"/>
        <w:rPr>
          <w:rFonts w:ascii="Times New Roman" w:eastAsia="Times New Roman" w:hAnsi="Times New Roman" w:cs="Times New Roman"/>
          <w:bCs/>
          <w:iCs/>
          <w:color w:val="000000"/>
          <w:sz w:val="24"/>
          <w:szCs w:val="24"/>
          <w:lang w:eastAsia="it-IT"/>
        </w:rPr>
      </w:pPr>
      <w:r w:rsidRPr="0092529E">
        <w:rPr>
          <w:rFonts w:ascii="Times New Roman" w:eastAsia="Times New Roman" w:hAnsi="Times New Roman" w:cs="Times New Roman"/>
          <w:bCs/>
          <w:iCs/>
          <w:color w:val="000000"/>
          <w:sz w:val="24"/>
          <w:szCs w:val="24"/>
          <w:lang w:eastAsia="it-IT"/>
        </w:rPr>
        <w:t xml:space="preserve">2.− Con diffuse argomentazioni adesive alla motivazione dell’ordinanza di rinvio, la difesa dei ricorrenti ha chiesto dichiararsi l’illegittimità costituzionale degli artt. 2 e </w:t>
      </w:r>
      <w:proofErr w:type="gramStart"/>
      <w:r w:rsidRPr="0092529E">
        <w:rPr>
          <w:rFonts w:ascii="Times New Roman" w:eastAsia="Times New Roman" w:hAnsi="Times New Roman" w:cs="Times New Roman"/>
          <w:bCs/>
          <w:iCs/>
          <w:color w:val="000000"/>
          <w:sz w:val="24"/>
          <w:szCs w:val="24"/>
          <w:lang w:eastAsia="it-IT"/>
        </w:rPr>
        <w:t>4</w:t>
      </w:r>
      <w:proofErr w:type="gramEnd"/>
      <w:r w:rsidRPr="0092529E">
        <w:rPr>
          <w:rFonts w:ascii="Times New Roman" w:eastAsia="Times New Roman" w:hAnsi="Times New Roman" w:cs="Times New Roman"/>
          <w:bCs/>
          <w:iCs/>
          <w:color w:val="000000"/>
          <w:sz w:val="24"/>
          <w:szCs w:val="24"/>
          <w:lang w:eastAsia="it-IT"/>
        </w:rPr>
        <w:t xml:space="preserve"> della legge n. 164 del 1982 e, in via consequenziale, </w:t>
      </w:r>
      <w:r w:rsidRPr="0092529E">
        <w:rPr>
          <w:rFonts w:ascii="Times New Roman" w:eastAsia="Times New Roman" w:hAnsi="Times New Roman" w:cs="Times New Roman"/>
          <w:bCs/>
          <w:i/>
          <w:iCs/>
          <w:color w:val="000000"/>
          <w:sz w:val="24"/>
          <w:szCs w:val="24"/>
          <w:lang w:eastAsia="it-IT"/>
        </w:rPr>
        <w:t>ex</w:t>
      </w:r>
      <w:r w:rsidRPr="0092529E">
        <w:rPr>
          <w:rFonts w:ascii="Times New Roman" w:eastAsia="Times New Roman" w:hAnsi="Times New Roman" w:cs="Times New Roman"/>
          <w:bCs/>
          <w:iCs/>
          <w:color w:val="000000"/>
          <w:sz w:val="24"/>
          <w:szCs w:val="24"/>
          <w:lang w:eastAsia="it-IT"/>
        </w:rPr>
        <w:t xml:space="preserve"> art. </w:t>
      </w:r>
      <w:proofErr w:type="gramStart"/>
      <w:r w:rsidRPr="0092529E">
        <w:rPr>
          <w:rFonts w:ascii="Times New Roman" w:eastAsia="Times New Roman" w:hAnsi="Times New Roman" w:cs="Times New Roman"/>
          <w:bCs/>
          <w:iCs/>
          <w:color w:val="000000"/>
          <w:sz w:val="24"/>
          <w:szCs w:val="24"/>
          <w:lang w:eastAsia="it-IT"/>
        </w:rPr>
        <w:t>27,</w:t>
      </w:r>
      <w:proofErr w:type="gramEnd"/>
      <w:r w:rsidRPr="0092529E">
        <w:rPr>
          <w:rFonts w:ascii="Times New Roman" w:eastAsia="Times New Roman" w:hAnsi="Times New Roman" w:cs="Times New Roman"/>
          <w:bCs/>
          <w:iCs/>
          <w:color w:val="000000"/>
          <w:sz w:val="24"/>
          <w:szCs w:val="24"/>
          <w:lang w:eastAsia="it-IT"/>
        </w:rPr>
        <w:t xml:space="preserve"> legge n. 87 del 1953, dell’art. 31, comma </w:t>
      </w:r>
      <w:proofErr w:type="gramStart"/>
      <w:r w:rsidRPr="0092529E">
        <w:rPr>
          <w:rFonts w:ascii="Times New Roman" w:eastAsia="Times New Roman" w:hAnsi="Times New Roman" w:cs="Times New Roman"/>
          <w:bCs/>
          <w:iCs/>
          <w:color w:val="000000"/>
          <w:sz w:val="24"/>
          <w:szCs w:val="24"/>
          <w:lang w:eastAsia="it-IT"/>
        </w:rPr>
        <w:t>6</w:t>
      </w:r>
      <w:proofErr w:type="gramEnd"/>
      <w:r w:rsidRPr="0092529E">
        <w:rPr>
          <w:rFonts w:ascii="Times New Roman" w:eastAsia="Times New Roman" w:hAnsi="Times New Roman" w:cs="Times New Roman"/>
          <w:bCs/>
          <w:iCs/>
          <w:color w:val="000000"/>
          <w:sz w:val="24"/>
          <w:szCs w:val="24"/>
          <w:lang w:eastAsia="it-IT"/>
        </w:rPr>
        <w:t>, del d.lgs. n. 150 del 2011.</w:t>
      </w:r>
    </w:p>
    <w:p w:rsidR="0092529E" w:rsidRPr="0092529E" w:rsidRDefault="0092529E" w:rsidP="0092529E">
      <w:pPr>
        <w:widowControl w:val="0"/>
        <w:adjustRightInd w:val="0"/>
        <w:spacing w:before="100" w:beforeAutospacing="1" w:after="100" w:afterAutospacing="1" w:line="360" w:lineRule="auto"/>
        <w:rPr>
          <w:rFonts w:ascii="Times New Roman" w:eastAsia="Times New Roman" w:hAnsi="Times New Roman" w:cs="Times New Roman"/>
          <w:bCs/>
          <w:iCs/>
          <w:color w:val="000000"/>
          <w:sz w:val="24"/>
          <w:szCs w:val="24"/>
          <w:lang w:eastAsia="it-IT"/>
        </w:rPr>
      </w:pPr>
      <w:r w:rsidRPr="0092529E">
        <w:rPr>
          <w:rFonts w:ascii="Times New Roman" w:eastAsia="Times New Roman" w:hAnsi="Times New Roman" w:cs="Times New Roman"/>
          <w:bCs/>
          <w:iCs/>
          <w:color w:val="000000"/>
          <w:sz w:val="24"/>
          <w:szCs w:val="24"/>
          <w:lang w:eastAsia="it-IT"/>
        </w:rPr>
        <w:t xml:space="preserve">3.− Nel pervenire ad opposta conclusione di non fondatezza, sotto ogni profilo, della questione in esame, l’Avvocatura generale dello Stato ha richiamato, invece, in premessa, la non superabilità del “paradigma eterosessuale” del matrimonio, ribadito anche dalla </w:t>
      </w:r>
      <w:hyperlink r:id="rId5" w:history="1">
        <w:r w:rsidRPr="0092529E">
          <w:rPr>
            <w:rFonts w:ascii="Times New Roman" w:eastAsia="Times New Roman" w:hAnsi="Times New Roman" w:cs="Times New Roman"/>
            <w:bCs/>
            <w:iCs/>
            <w:color w:val="0000FF"/>
            <w:sz w:val="24"/>
            <w:szCs w:val="24"/>
            <w:u w:val="single"/>
            <w:lang w:eastAsia="it-IT"/>
          </w:rPr>
          <w:t>sentenza di questa Corte n. 138 del 2010</w:t>
        </w:r>
      </w:hyperlink>
      <w:r w:rsidRPr="0092529E">
        <w:rPr>
          <w:rFonts w:ascii="Times New Roman" w:eastAsia="Times New Roman" w:hAnsi="Times New Roman" w:cs="Times New Roman"/>
          <w:bCs/>
          <w:iCs/>
          <w:color w:val="000000"/>
          <w:sz w:val="24"/>
          <w:szCs w:val="24"/>
          <w:lang w:eastAsia="it-IT"/>
        </w:rPr>
        <w:t>, e ne ha tratto il corollario che, in Italia, il matrimonio già celebrato tra due persone eterosessuali, una delle quali modifichi in costanza di rapporto, senza opposizione dell’altra, la propria identità di genere venga, per ciò stesso, a caducarsi per “inesistenza acquisita”.</w:t>
      </w:r>
    </w:p>
    <w:p w:rsidR="0092529E" w:rsidRPr="0092529E" w:rsidRDefault="0092529E" w:rsidP="0092529E">
      <w:pPr>
        <w:widowControl w:val="0"/>
        <w:adjustRightInd w:val="0"/>
        <w:spacing w:before="100" w:beforeAutospacing="1" w:after="100" w:afterAutospacing="1" w:line="360" w:lineRule="auto"/>
        <w:rPr>
          <w:rFonts w:ascii="Times New Roman" w:eastAsia="Times New Roman" w:hAnsi="Times New Roman" w:cs="Times New Roman"/>
          <w:bCs/>
          <w:iCs/>
          <w:color w:val="000000"/>
          <w:sz w:val="24"/>
          <w:szCs w:val="24"/>
          <w:lang w:eastAsia="it-IT"/>
        </w:rPr>
      </w:pPr>
      <w:r w:rsidRPr="0092529E">
        <w:rPr>
          <w:rFonts w:ascii="Times New Roman" w:eastAsia="Times New Roman" w:hAnsi="Times New Roman" w:cs="Times New Roman"/>
          <w:bCs/>
          <w:iCs/>
          <w:color w:val="000000"/>
          <w:sz w:val="24"/>
          <w:szCs w:val="24"/>
          <w:lang w:eastAsia="it-IT"/>
        </w:rPr>
        <w:t>Con l’</w:t>
      </w:r>
      <w:proofErr w:type="gramStart"/>
      <w:r w:rsidRPr="0092529E">
        <w:rPr>
          <w:rFonts w:ascii="Times New Roman" w:eastAsia="Times New Roman" w:hAnsi="Times New Roman" w:cs="Times New Roman"/>
          <w:bCs/>
          <w:iCs/>
          <w:color w:val="000000"/>
          <w:sz w:val="24"/>
          <w:szCs w:val="24"/>
          <w:lang w:eastAsia="it-IT"/>
        </w:rPr>
        <w:t>ulteriore</w:t>
      </w:r>
      <w:proofErr w:type="gramEnd"/>
      <w:r w:rsidRPr="0092529E">
        <w:rPr>
          <w:rFonts w:ascii="Times New Roman" w:eastAsia="Times New Roman" w:hAnsi="Times New Roman" w:cs="Times New Roman"/>
          <w:bCs/>
          <w:iCs/>
          <w:color w:val="000000"/>
          <w:sz w:val="24"/>
          <w:szCs w:val="24"/>
          <w:lang w:eastAsia="it-IT"/>
        </w:rPr>
        <w:t xml:space="preserve"> conseguenza – ad avviso, sempre di detta difesa – che «ciò a cui può aspirare il coniuge che cambia sesso in costanza di matrimonio è che, con il consenso del proprio compagno (o compagna) di vita, l’ordinamento riconosca il permanere del vincolo di comunanza affettiva con una adeguata e diversa tutela, che serva per l’appunto a non comprimere eccessivamente l’esercizio del diritto inviolabile all’autodeterminazione sessuale, ma non aspirare a conservare un istituto non più esistente».</w:t>
      </w:r>
    </w:p>
    <w:p w:rsidR="0092529E" w:rsidRDefault="0092529E" w:rsidP="0092529E">
      <w:pPr>
        <w:widowControl w:val="0"/>
        <w:adjustRightInd w:val="0"/>
        <w:spacing w:before="100" w:beforeAutospacing="1" w:after="100" w:afterAutospacing="1" w:line="360" w:lineRule="auto"/>
        <w:rPr>
          <w:rFonts w:ascii="Times New Roman" w:eastAsia="Times New Roman" w:hAnsi="Times New Roman" w:cs="Times New Roman"/>
          <w:iCs/>
          <w:color w:val="000000"/>
          <w:sz w:val="24"/>
          <w:szCs w:val="24"/>
          <w:lang w:eastAsia="it-IT"/>
        </w:rPr>
      </w:pPr>
      <w:r>
        <w:rPr>
          <w:rFonts w:ascii="Times New Roman" w:eastAsia="Times New Roman" w:hAnsi="Times New Roman" w:cs="Times New Roman"/>
          <w:iCs/>
          <w:color w:val="000000"/>
          <w:sz w:val="24"/>
          <w:szCs w:val="24"/>
          <w:lang w:eastAsia="it-IT"/>
        </w:rPr>
        <w:t>…</w:t>
      </w:r>
      <w:proofErr w:type="gramStart"/>
      <w:r>
        <w:rPr>
          <w:rFonts w:ascii="Times New Roman" w:eastAsia="Times New Roman" w:hAnsi="Times New Roman" w:cs="Times New Roman"/>
          <w:iCs/>
          <w:color w:val="000000"/>
          <w:sz w:val="24"/>
          <w:szCs w:val="24"/>
          <w:lang w:eastAsia="it-IT"/>
        </w:rPr>
        <w:t>..</w:t>
      </w:r>
      <w:proofErr w:type="gramEnd"/>
    </w:p>
    <w:p w:rsidR="0092529E" w:rsidRPr="0092529E" w:rsidRDefault="0092529E" w:rsidP="0092529E">
      <w:pPr>
        <w:widowControl w:val="0"/>
        <w:adjustRightInd w:val="0"/>
        <w:spacing w:before="100" w:beforeAutospacing="1" w:after="100" w:afterAutospacing="1" w:line="360" w:lineRule="auto"/>
        <w:rPr>
          <w:rFonts w:ascii="Times New Roman" w:eastAsia="Times New Roman" w:hAnsi="Times New Roman" w:cs="Times New Roman"/>
          <w:iCs/>
          <w:color w:val="000000"/>
          <w:sz w:val="24"/>
          <w:szCs w:val="24"/>
          <w:lang w:eastAsia="it-IT"/>
        </w:rPr>
      </w:pPr>
      <w:r w:rsidRPr="0092529E">
        <w:rPr>
          <w:rFonts w:ascii="Times New Roman" w:eastAsia="Times New Roman" w:hAnsi="Times New Roman" w:cs="Times New Roman"/>
          <w:iCs/>
          <w:color w:val="000000"/>
          <w:sz w:val="24"/>
          <w:szCs w:val="24"/>
          <w:lang w:eastAsia="it-IT"/>
        </w:rPr>
        <w:t>5.− La questione è fondata, nei termini e limiti di cui appresso.</w:t>
      </w:r>
    </w:p>
    <w:p w:rsidR="0092529E" w:rsidRPr="0092529E" w:rsidRDefault="0092529E" w:rsidP="0092529E">
      <w:pPr>
        <w:widowControl w:val="0"/>
        <w:adjustRightInd w:val="0"/>
        <w:spacing w:before="100" w:beforeAutospacing="1" w:after="100" w:afterAutospacing="1" w:line="360" w:lineRule="auto"/>
        <w:rPr>
          <w:rFonts w:ascii="Times New Roman" w:eastAsia="Times New Roman" w:hAnsi="Times New Roman" w:cs="Times New Roman"/>
          <w:iCs/>
          <w:color w:val="000000"/>
          <w:sz w:val="24"/>
          <w:szCs w:val="24"/>
          <w:lang w:eastAsia="it-IT"/>
        </w:rPr>
      </w:pPr>
      <w:r w:rsidRPr="0092529E">
        <w:rPr>
          <w:rFonts w:ascii="Times New Roman" w:eastAsia="Times New Roman" w:hAnsi="Times New Roman" w:cs="Times New Roman"/>
          <w:iCs/>
          <w:color w:val="000000"/>
          <w:sz w:val="24"/>
          <w:szCs w:val="24"/>
          <w:lang w:eastAsia="it-IT"/>
        </w:rPr>
        <w:t xml:space="preserve">5.1.−La situazione (sul piano fattuale innegabilmente infrequente, ma che, nella vicenda al centro del giudizio principale, si è comunque verificata) di due coniugi che, nonostante la rettificazione dell’attribuzione di sesso ottenuta da uno di essi, intendano non interrompere la loro vita di coppia, si pone, evidentemente, fuori dal modello del matrimonio – che, con il venir meno del requisito, per il nostro ordinamento essenziale, </w:t>
      </w:r>
      <w:proofErr w:type="gramStart"/>
      <w:r w:rsidRPr="0092529E">
        <w:rPr>
          <w:rFonts w:ascii="Times New Roman" w:eastAsia="Times New Roman" w:hAnsi="Times New Roman" w:cs="Times New Roman"/>
          <w:iCs/>
          <w:color w:val="000000"/>
          <w:sz w:val="24"/>
          <w:szCs w:val="24"/>
          <w:lang w:eastAsia="it-IT"/>
        </w:rPr>
        <w:t xml:space="preserve">della </w:t>
      </w:r>
      <w:proofErr w:type="gramEnd"/>
      <w:r w:rsidRPr="0092529E">
        <w:rPr>
          <w:rFonts w:ascii="Times New Roman" w:eastAsia="Times New Roman" w:hAnsi="Times New Roman" w:cs="Times New Roman"/>
          <w:iCs/>
          <w:color w:val="000000"/>
          <w:sz w:val="24"/>
          <w:szCs w:val="24"/>
          <w:lang w:eastAsia="it-IT"/>
        </w:rPr>
        <w:t>eterosessualità, non può proseguire come tale – ma non è neppure semplicisticamente equiparabile ad una unione di soggetti dello stesso sesso, poiché ciò equivarrebbe a cancellare, sul piano giuridico, un pregresso vissuto, nel cui contesto quella coppia ha maturato reciproci diritti e doveri, anche di rilievo costituzionale, che, seppur non più declinabili all’interno del modello matrimoniale, non sono, per ciò solo, tutti necessariamente sacrificabili.</w:t>
      </w:r>
    </w:p>
    <w:p w:rsidR="0092529E" w:rsidRPr="0092529E" w:rsidRDefault="0092529E" w:rsidP="0092529E">
      <w:pPr>
        <w:widowControl w:val="0"/>
        <w:adjustRightInd w:val="0"/>
        <w:spacing w:before="100" w:beforeAutospacing="1" w:after="100" w:afterAutospacing="1" w:line="360" w:lineRule="auto"/>
        <w:rPr>
          <w:rFonts w:ascii="Times New Roman" w:eastAsia="Times New Roman" w:hAnsi="Times New Roman" w:cs="Times New Roman"/>
          <w:iCs/>
          <w:color w:val="000000"/>
          <w:sz w:val="24"/>
          <w:szCs w:val="24"/>
          <w:lang w:eastAsia="it-IT"/>
        </w:rPr>
      </w:pPr>
      <w:r w:rsidRPr="0092529E">
        <w:rPr>
          <w:rFonts w:ascii="Times New Roman" w:eastAsia="Times New Roman" w:hAnsi="Times New Roman" w:cs="Times New Roman"/>
          <w:iCs/>
          <w:color w:val="000000"/>
          <w:sz w:val="24"/>
          <w:szCs w:val="24"/>
          <w:lang w:eastAsia="it-IT"/>
        </w:rPr>
        <w:lastRenderedPageBreak/>
        <w:t xml:space="preserve">5.2.− Il parametro costituzionale di riferimento per una corretta valutazione della peculiare fattispecie in esame – </w:t>
      </w:r>
      <w:proofErr w:type="gramStart"/>
      <w:r w:rsidRPr="0092529E">
        <w:rPr>
          <w:rFonts w:ascii="Times New Roman" w:eastAsia="Times New Roman" w:hAnsi="Times New Roman" w:cs="Times New Roman"/>
          <w:iCs/>
          <w:color w:val="000000"/>
          <w:sz w:val="24"/>
          <w:szCs w:val="24"/>
          <w:lang w:eastAsia="it-IT"/>
        </w:rPr>
        <w:t>in relazione ai</w:t>
      </w:r>
      <w:proofErr w:type="gramEnd"/>
      <w:r w:rsidRPr="0092529E">
        <w:rPr>
          <w:rFonts w:ascii="Times New Roman" w:eastAsia="Times New Roman" w:hAnsi="Times New Roman" w:cs="Times New Roman"/>
          <w:iCs/>
          <w:color w:val="000000"/>
          <w:sz w:val="24"/>
          <w:szCs w:val="24"/>
          <w:lang w:eastAsia="it-IT"/>
        </w:rPr>
        <w:t xml:space="preserve"> prospettati quesiti sulla legittimità della disciplina, correttamente individuata dalla Corte di cassazione negli artt. 2 e 4 della Legge n. 164 del 1982, che la risolvono in termini di divorzio automatico – non è dunque quello dell’art. 29 </w:t>
      </w:r>
      <w:proofErr w:type="spellStart"/>
      <w:r w:rsidRPr="0092529E">
        <w:rPr>
          <w:rFonts w:ascii="Times New Roman" w:eastAsia="Times New Roman" w:hAnsi="Times New Roman" w:cs="Times New Roman"/>
          <w:iCs/>
          <w:color w:val="000000"/>
          <w:sz w:val="24"/>
          <w:szCs w:val="24"/>
          <w:lang w:eastAsia="it-IT"/>
        </w:rPr>
        <w:t>Cost</w:t>
      </w:r>
      <w:proofErr w:type="spellEnd"/>
      <w:r w:rsidRPr="0092529E">
        <w:rPr>
          <w:rFonts w:ascii="Times New Roman" w:eastAsia="Times New Roman" w:hAnsi="Times New Roman" w:cs="Times New Roman"/>
          <w:iCs/>
          <w:color w:val="000000"/>
          <w:sz w:val="24"/>
          <w:szCs w:val="24"/>
          <w:lang w:eastAsia="it-IT"/>
        </w:rPr>
        <w:t xml:space="preserve">. invocato in via principale dallo stesso collegio rimettente, poiché, come già </w:t>
      </w:r>
      <w:proofErr w:type="gramStart"/>
      <w:r w:rsidRPr="0092529E">
        <w:rPr>
          <w:rFonts w:ascii="Times New Roman" w:eastAsia="Times New Roman" w:hAnsi="Times New Roman" w:cs="Times New Roman"/>
          <w:iCs/>
          <w:color w:val="000000"/>
          <w:sz w:val="24"/>
          <w:szCs w:val="24"/>
          <w:lang w:eastAsia="it-IT"/>
        </w:rPr>
        <w:t>sottolineato</w:t>
      </w:r>
      <w:proofErr w:type="gramEnd"/>
      <w:r w:rsidRPr="0092529E">
        <w:rPr>
          <w:rFonts w:ascii="Times New Roman" w:eastAsia="Times New Roman" w:hAnsi="Times New Roman" w:cs="Times New Roman"/>
          <w:iCs/>
          <w:color w:val="000000"/>
          <w:sz w:val="24"/>
          <w:szCs w:val="24"/>
          <w:lang w:eastAsia="it-IT"/>
        </w:rPr>
        <w:t xml:space="preserve"> da questa Corte, la nozione di matrimonio presupposta dal Costituente (cui conferisce tutela il citato art. 29 </w:t>
      </w:r>
      <w:proofErr w:type="spellStart"/>
      <w:r w:rsidRPr="0092529E">
        <w:rPr>
          <w:rFonts w:ascii="Times New Roman" w:eastAsia="Times New Roman" w:hAnsi="Times New Roman" w:cs="Times New Roman"/>
          <w:iCs/>
          <w:color w:val="000000"/>
          <w:sz w:val="24"/>
          <w:szCs w:val="24"/>
          <w:lang w:eastAsia="it-IT"/>
        </w:rPr>
        <w:t>Cost</w:t>
      </w:r>
      <w:proofErr w:type="spellEnd"/>
      <w:r w:rsidRPr="0092529E">
        <w:rPr>
          <w:rFonts w:ascii="Times New Roman" w:eastAsia="Times New Roman" w:hAnsi="Times New Roman" w:cs="Times New Roman"/>
          <w:iCs/>
          <w:color w:val="000000"/>
          <w:sz w:val="24"/>
          <w:szCs w:val="24"/>
          <w:lang w:eastAsia="it-IT"/>
        </w:rPr>
        <w:t>.) è quella stessa definita dal codice civile del 1942, che «stabiliva (e tuttora stabilisce) che i coniugi dovessero essere persone di sesso diverso» (</w:t>
      </w:r>
      <w:hyperlink r:id="rId6" w:history="1">
        <w:r w:rsidRPr="0092529E">
          <w:rPr>
            <w:rFonts w:ascii="Times New Roman" w:eastAsia="Times New Roman" w:hAnsi="Times New Roman" w:cs="Times New Roman"/>
            <w:iCs/>
            <w:color w:val="0000FF"/>
            <w:sz w:val="24"/>
            <w:szCs w:val="24"/>
            <w:u w:val="single"/>
            <w:lang w:eastAsia="it-IT"/>
          </w:rPr>
          <w:t>sentenza n. 138 del 2010</w:t>
        </w:r>
      </w:hyperlink>
      <w:r w:rsidRPr="0092529E">
        <w:rPr>
          <w:rFonts w:ascii="Times New Roman" w:eastAsia="Times New Roman" w:hAnsi="Times New Roman" w:cs="Times New Roman"/>
          <w:iCs/>
          <w:color w:val="000000"/>
          <w:sz w:val="24"/>
          <w:szCs w:val="24"/>
          <w:lang w:eastAsia="it-IT"/>
        </w:rPr>
        <w:t>).</w:t>
      </w:r>
    </w:p>
    <w:p w:rsidR="0092529E" w:rsidRPr="0092529E" w:rsidRDefault="0092529E" w:rsidP="0092529E">
      <w:pPr>
        <w:widowControl w:val="0"/>
        <w:adjustRightInd w:val="0"/>
        <w:spacing w:before="100" w:beforeAutospacing="1" w:after="100" w:afterAutospacing="1" w:line="360" w:lineRule="auto"/>
        <w:rPr>
          <w:rFonts w:ascii="Times New Roman" w:eastAsia="Times New Roman" w:hAnsi="Times New Roman" w:cs="Times New Roman"/>
          <w:iCs/>
          <w:color w:val="000000"/>
          <w:sz w:val="24"/>
          <w:szCs w:val="24"/>
          <w:lang w:eastAsia="it-IT"/>
        </w:rPr>
      </w:pPr>
      <w:r w:rsidRPr="0092529E">
        <w:rPr>
          <w:rFonts w:ascii="Times New Roman" w:eastAsia="Times New Roman" w:hAnsi="Times New Roman" w:cs="Times New Roman"/>
          <w:iCs/>
          <w:color w:val="000000"/>
          <w:sz w:val="24"/>
          <w:szCs w:val="24"/>
          <w:lang w:eastAsia="it-IT"/>
        </w:rPr>
        <w:t>Il che comporta che anche a colui (o colei) che cambia il proprio sesso non resta impedito di formare una famiglia, contraendo nuovo matrimonio con persona di sesso diverso da quello da lui (o lei) acquisito per rettifica.</w:t>
      </w:r>
    </w:p>
    <w:p w:rsidR="0092529E" w:rsidRPr="0092529E" w:rsidRDefault="0092529E" w:rsidP="0092529E">
      <w:pPr>
        <w:widowControl w:val="0"/>
        <w:adjustRightInd w:val="0"/>
        <w:spacing w:before="100" w:beforeAutospacing="1" w:after="100" w:afterAutospacing="1" w:line="360" w:lineRule="auto"/>
        <w:rPr>
          <w:rFonts w:ascii="Times New Roman" w:eastAsia="Times New Roman" w:hAnsi="Times New Roman" w:cs="Times New Roman"/>
          <w:iCs/>
          <w:color w:val="000000"/>
          <w:sz w:val="24"/>
          <w:szCs w:val="24"/>
          <w:lang w:eastAsia="it-IT"/>
        </w:rPr>
      </w:pPr>
      <w:r w:rsidRPr="0092529E">
        <w:rPr>
          <w:rFonts w:ascii="Times New Roman" w:eastAsia="Times New Roman" w:hAnsi="Times New Roman" w:cs="Times New Roman"/>
          <w:iCs/>
          <w:color w:val="000000"/>
          <w:sz w:val="24"/>
          <w:szCs w:val="24"/>
          <w:lang w:eastAsia="it-IT"/>
        </w:rPr>
        <w:t>5.3.− Non pertinente è anche il riferimento agli artt. 8 (sul diritto al rispetto della vita familiare) e 12 (sul diritto di sposarsi e formare una famiglia) della CEDU, come interpretati dalla Corte europea dei diritti dell’uomo (</w:t>
      </w:r>
      <w:proofErr w:type="gramStart"/>
      <w:r w:rsidRPr="0092529E">
        <w:rPr>
          <w:rFonts w:ascii="Times New Roman" w:eastAsia="Times New Roman" w:hAnsi="Times New Roman" w:cs="Times New Roman"/>
          <w:i/>
          <w:iCs/>
          <w:color w:val="000000"/>
          <w:sz w:val="24"/>
          <w:szCs w:val="24"/>
          <w:lang w:eastAsia="it-IT"/>
        </w:rPr>
        <w:t>H.</w:t>
      </w:r>
      <w:proofErr w:type="gramEnd"/>
      <w:r w:rsidRPr="0092529E">
        <w:rPr>
          <w:rFonts w:ascii="Times New Roman" w:eastAsia="Times New Roman" w:hAnsi="Times New Roman" w:cs="Times New Roman"/>
          <w:i/>
          <w:iCs/>
          <w:color w:val="000000"/>
          <w:sz w:val="24"/>
          <w:szCs w:val="24"/>
          <w:lang w:eastAsia="it-IT"/>
        </w:rPr>
        <w:t xml:space="preserve"> contro Finlandia</w:t>
      </w:r>
      <w:r w:rsidRPr="0092529E">
        <w:rPr>
          <w:rFonts w:ascii="Times New Roman" w:eastAsia="Times New Roman" w:hAnsi="Times New Roman" w:cs="Times New Roman"/>
          <w:iCs/>
          <w:color w:val="000000"/>
          <w:sz w:val="24"/>
          <w:szCs w:val="24"/>
          <w:lang w:eastAsia="it-IT"/>
        </w:rPr>
        <w:t xml:space="preserve"> – decisione del 13 novembre 2012; </w:t>
      </w:r>
      <w:proofErr w:type="spellStart"/>
      <w:r w:rsidRPr="0092529E">
        <w:rPr>
          <w:rFonts w:ascii="Times New Roman" w:eastAsia="Times New Roman" w:hAnsi="Times New Roman" w:cs="Times New Roman"/>
          <w:i/>
          <w:iCs/>
          <w:color w:val="000000"/>
          <w:sz w:val="24"/>
          <w:szCs w:val="24"/>
          <w:lang w:eastAsia="it-IT"/>
        </w:rPr>
        <w:t>Schalk</w:t>
      </w:r>
      <w:proofErr w:type="spellEnd"/>
      <w:r w:rsidRPr="0092529E">
        <w:rPr>
          <w:rFonts w:ascii="Times New Roman" w:eastAsia="Times New Roman" w:hAnsi="Times New Roman" w:cs="Times New Roman"/>
          <w:i/>
          <w:iCs/>
          <w:color w:val="000000"/>
          <w:sz w:val="24"/>
          <w:szCs w:val="24"/>
          <w:lang w:eastAsia="it-IT"/>
        </w:rPr>
        <w:t xml:space="preserve"> and </w:t>
      </w:r>
      <w:proofErr w:type="spellStart"/>
      <w:r w:rsidRPr="0092529E">
        <w:rPr>
          <w:rFonts w:ascii="Times New Roman" w:eastAsia="Times New Roman" w:hAnsi="Times New Roman" w:cs="Times New Roman"/>
          <w:i/>
          <w:iCs/>
          <w:color w:val="000000"/>
          <w:sz w:val="24"/>
          <w:szCs w:val="24"/>
          <w:lang w:eastAsia="it-IT"/>
        </w:rPr>
        <w:t>Kopf</w:t>
      </w:r>
      <w:proofErr w:type="spellEnd"/>
      <w:r w:rsidRPr="0092529E">
        <w:rPr>
          <w:rFonts w:ascii="Times New Roman" w:eastAsia="Times New Roman" w:hAnsi="Times New Roman" w:cs="Times New Roman"/>
          <w:i/>
          <w:iCs/>
          <w:color w:val="000000"/>
          <w:sz w:val="24"/>
          <w:szCs w:val="24"/>
          <w:lang w:eastAsia="it-IT"/>
        </w:rPr>
        <w:t xml:space="preserve"> contro Austria</w:t>
      </w:r>
      <w:r w:rsidRPr="0092529E">
        <w:rPr>
          <w:rFonts w:ascii="Times New Roman" w:eastAsia="Times New Roman" w:hAnsi="Times New Roman" w:cs="Times New Roman"/>
          <w:iCs/>
          <w:color w:val="000000"/>
          <w:sz w:val="24"/>
          <w:szCs w:val="24"/>
          <w:lang w:eastAsia="it-IT"/>
        </w:rPr>
        <w:t xml:space="preserve"> – decisione del  22 novembre 2010), invocati come norme interposte, ai sensi della denunciata violazione degli artt. 10, primo comma, e 117, primo comma, </w:t>
      </w:r>
      <w:proofErr w:type="spellStart"/>
      <w:r w:rsidRPr="0092529E">
        <w:rPr>
          <w:rFonts w:ascii="Times New Roman" w:eastAsia="Times New Roman" w:hAnsi="Times New Roman" w:cs="Times New Roman"/>
          <w:iCs/>
          <w:color w:val="000000"/>
          <w:sz w:val="24"/>
          <w:szCs w:val="24"/>
          <w:lang w:eastAsia="it-IT"/>
        </w:rPr>
        <w:t>Cost</w:t>
      </w:r>
      <w:proofErr w:type="spellEnd"/>
      <w:r w:rsidRPr="0092529E">
        <w:rPr>
          <w:rFonts w:ascii="Times New Roman" w:eastAsia="Times New Roman" w:hAnsi="Times New Roman" w:cs="Times New Roman"/>
          <w:iCs/>
          <w:color w:val="000000"/>
          <w:sz w:val="24"/>
          <w:szCs w:val="24"/>
          <w:lang w:eastAsia="it-IT"/>
        </w:rPr>
        <w:t>. E ciò perché, in assenza di un consenso tra i vari Stati nazionali sul tema delle unioni omosessuali, la Corte EDU, sul presupposto del margine di apprezzamento conseguentemente loro riconosciuto, afferma essere riservate alla discrezionalità del legislatore nazionale le eventuali forme di tutela per le coppie di soggetti appartenenti al medesimo sesso.</w:t>
      </w:r>
    </w:p>
    <w:p w:rsidR="0092529E" w:rsidRPr="0092529E" w:rsidRDefault="0092529E" w:rsidP="0092529E">
      <w:pPr>
        <w:widowControl w:val="0"/>
        <w:adjustRightInd w:val="0"/>
        <w:spacing w:before="100" w:beforeAutospacing="1" w:after="100" w:afterAutospacing="1" w:line="360" w:lineRule="auto"/>
        <w:rPr>
          <w:rFonts w:ascii="Times New Roman" w:eastAsia="Times New Roman" w:hAnsi="Times New Roman" w:cs="Times New Roman"/>
          <w:iCs/>
          <w:color w:val="000000"/>
          <w:sz w:val="24"/>
          <w:szCs w:val="24"/>
          <w:lang w:eastAsia="it-IT"/>
        </w:rPr>
      </w:pPr>
      <w:r w:rsidRPr="0092529E">
        <w:rPr>
          <w:rFonts w:ascii="Times New Roman" w:eastAsia="Times New Roman" w:hAnsi="Times New Roman" w:cs="Times New Roman"/>
          <w:iCs/>
          <w:color w:val="000000"/>
          <w:sz w:val="24"/>
          <w:szCs w:val="24"/>
          <w:lang w:eastAsia="it-IT"/>
        </w:rPr>
        <w:t xml:space="preserve">La stessa </w:t>
      </w:r>
      <w:hyperlink r:id="rId7" w:history="1">
        <w:r w:rsidRPr="0092529E">
          <w:rPr>
            <w:rFonts w:ascii="Times New Roman" w:eastAsia="Times New Roman" w:hAnsi="Times New Roman" w:cs="Times New Roman"/>
            <w:iCs/>
            <w:color w:val="0000FF"/>
            <w:sz w:val="24"/>
            <w:szCs w:val="24"/>
            <w:u w:val="single"/>
            <w:lang w:eastAsia="it-IT"/>
          </w:rPr>
          <w:t xml:space="preserve">sentenza della Corte EDU </w:t>
        </w:r>
        <w:proofErr w:type="spellStart"/>
        <w:r w:rsidRPr="0092529E">
          <w:rPr>
            <w:rFonts w:ascii="Times New Roman" w:eastAsia="Times New Roman" w:hAnsi="Times New Roman" w:cs="Times New Roman"/>
            <w:i/>
            <w:iCs/>
            <w:color w:val="0000FF"/>
            <w:sz w:val="24"/>
            <w:szCs w:val="24"/>
            <w:u w:val="single"/>
            <w:lang w:eastAsia="it-IT"/>
          </w:rPr>
          <w:t>Schalk</w:t>
        </w:r>
        <w:proofErr w:type="spellEnd"/>
        <w:r w:rsidRPr="0092529E">
          <w:rPr>
            <w:rFonts w:ascii="Times New Roman" w:eastAsia="Times New Roman" w:hAnsi="Times New Roman" w:cs="Times New Roman"/>
            <w:i/>
            <w:iCs/>
            <w:color w:val="0000FF"/>
            <w:sz w:val="24"/>
            <w:szCs w:val="24"/>
            <w:u w:val="single"/>
            <w:lang w:eastAsia="it-IT"/>
          </w:rPr>
          <w:t xml:space="preserve"> and </w:t>
        </w:r>
        <w:proofErr w:type="spellStart"/>
        <w:r w:rsidRPr="0092529E">
          <w:rPr>
            <w:rFonts w:ascii="Times New Roman" w:eastAsia="Times New Roman" w:hAnsi="Times New Roman" w:cs="Times New Roman"/>
            <w:i/>
            <w:iCs/>
            <w:color w:val="0000FF"/>
            <w:sz w:val="24"/>
            <w:szCs w:val="24"/>
            <w:u w:val="single"/>
            <w:lang w:eastAsia="it-IT"/>
          </w:rPr>
          <w:t>Kopf</w:t>
        </w:r>
        <w:proofErr w:type="spellEnd"/>
        <w:r w:rsidRPr="0092529E">
          <w:rPr>
            <w:rFonts w:ascii="Times New Roman" w:eastAsia="Times New Roman" w:hAnsi="Times New Roman" w:cs="Times New Roman"/>
            <w:i/>
            <w:iCs/>
            <w:color w:val="0000FF"/>
            <w:sz w:val="24"/>
            <w:szCs w:val="24"/>
            <w:u w:val="single"/>
            <w:lang w:eastAsia="it-IT"/>
          </w:rPr>
          <w:t xml:space="preserve"> contro Austria</w:t>
        </w:r>
      </w:hyperlink>
      <w:r w:rsidRPr="0092529E">
        <w:rPr>
          <w:rFonts w:ascii="Times New Roman" w:eastAsia="Times New Roman" w:hAnsi="Times New Roman" w:cs="Times New Roman"/>
          <w:iCs/>
          <w:color w:val="000000"/>
          <w:sz w:val="24"/>
          <w:szCs w:val="24"/>
          <w:lang w:eastAsia="it-IT"/>
        </w:rPr>
        <w:t xml:space="preserve">, citata nell’ordinanza di rimessione, nel ritenere possibile una interpretazione estensiva dell’art. 12 della CEDU nel senso della riferibilità del diritto di contrarre matrimonio anche alle coppie omosessuali, chiarisce come non derivi da una siffatta interpretazione una norma impositiva, di una </w:t>
      </w:r>
      <w:proofErr w:type="gramStart"/>
      <w:r w:rsidRPr="0092529E">
        <w:rPr>
          <w:rFonts w:ascii="Times New Roman" w:eastAsia="Times New Roman" w:hAnsi="Times New Roman" w:cs="Times New Roman"/>
          <w:iCs/>
          <w:color w:val="000000"/>
          <w:sz w:val="24"/>
          <w:szCs w:val="24"/>
          <w:lang w:eastAsia="it-IT"/>
        </w:rPr>
        <w:t>tale</w:t>
      </w:r>
      <w:proofErr w:type="gramEnd"/>
      <w:r w:rsidRPr="0092529E">
        <w:rPr>
          <w:rFonts w:ascii="Times New Roman" w:eastAsia="Times New Roman" w:hAnsi="Times New Roman" w:cs="Times New Roman"/>
          <w:iCs/>
          <w:color w:val="000000"/>
          <w:sz w:val="24"/>
          <w:szCs w:val="24"/>
          <w:lang w:eastAsia="it-IT"/>
        </w:rPr>
        <w:t xml:space="preserve"> estensione, per gli Stati membri.</w:t>
      </w:r>
    </w:p>
    <w:p w:rsidR="0092529E" w:rsidRPr="0092529E" w:rsidRDefault="0092529E" w:rsidP="0092529E">
      <w:pPr>
        <w:widowControl w:val="0"/>
        <w:adjustRightInd w:val="0"/>
        <w:spacing w:before="100" w:beforeAutospacing="1" w:after="100" w:afterAutospacing="1" w:line="360" w:lineRule="auto"/>
        <w:rPr>
          <w:rFonts w:ascii="Times New Roman" w:eastAsia="Times New Roman" w:hAnsi="Times New Roman" w:cs="Times New Roman"/>
          <w:iCs/>
          <w:color w:val="000000"/>
          <w:sz w:val="24"/>
          <w:szCs w:val="24"/>
          <w:lang w:eastAsia="it-IT"/>
        </w:rPr>
      </w:pPr>
      <w:r w:rsidRPr="0092529E">
        <w:rPr>
          <w:rFonts w:ascii="Times New Roman" w:eastAsia="Times New Roman" w:hAnsi="Times New Roman" w:cs="Times New Roman"/>
          <w:iCs/>
          <w:color w:val="000000"/>
          <w:sz w:val="24"/>
          <w:szCs w:val="24"/>
          <w:lang w:eastAsia="it-IT"/>
        </w:rPr>
        <w:t xml:space="preserve">5.4.− Neppure sussiste, nei termini della sua prospettazione, il contrasto della normativa denunciata con i precetti di cui agli artt. 24 e </w:t>
      </w:r>
      <w:proofErr w:type="gramStart"/>
      <w:r w:rsidRPr="0092529E">
        <w:rPr>
          <w:rFonts w:ascii="Times New Roman" w:eastAsia="Times New Roman" w:hAnsi="Times New Roman" w:cs="Times New Roman"/>
          <w:iCs/>
          <w:color w:val="000000"/>
          <w:sz w:val="24"/>
          <w:szCs w:val="24"/>
          <w:lang w:eastAsia="it-IT"/>
        </w:rPr>
        <w:t>3</w:t>
      </w:r>
      <w:proofErr w:type="gramEnd"/>
      <w:r w:rsidRPr="0092529E">
        <w:rPr>
          <w:rFonts w:ascii="Times New Roman" w:eastAsia="Times New Roman" w:hAnsi="Times New Roman" w:cs="Times New Roman"/>
          <w:iCs/>
          <w:color w:val="000000"/>
          <w:sz w:val="24"/>
          <w:szCs w:val="24"/>
          <w:lang w:eastAsia="it-IT"/>
        </w:rPr>
        <w:t xml:space="preserve"> </w:t>
      </w:r>
      <w:proofErr w:type="spellStart"/>
      <w:r w:rsidRPr="0092529E">
        <w:rPr>
          <w:rFonts w:ascii="Times New Roman" w:eastAsia="Times New Roman" w:hAnsi="Times New Roman" w:cs="Times New Roman"/>
          <w:iCs/>
          <w:color w:val="000000"/>
          <w:sz w:val="24"/>
          <w:szCs w:val="24"/>
          <w:lang w:eastAsia="it-IT"/>
        </w:rPr>
        <w:t>Cost</w:t>
      </w:r>
      <w:proofErr w:type="spellEnd"/>
      <w:r w:rsidRPr="0092529E">
        <w:rPr>
          <w:rFonts w:ascii="Times New Roman" w:eastAsia="Times New Roman" w:hAnsi="Times New Roman" w:cs="Times New Roman"/>
          <w:iCs/>
          <w:color w:val="000000"/>
          <w:sz w:val="24"/>
          <w:szCs w:val="24"/>
          <w:lang w:eastAsia="it-IT"/>
        </w:rPr>
        <w:t>.</w:t>
      </w:r>
    </w:p>
    <w:p w:rsidR="0092529E" w:rsidRPr="0092529E" w:rsidRDefault="0092529E" w:rsidP="0092529E">
      <w:pPr>
        <w:widowControl w:val="0"/>
        <w:adjustRightInd w:val="0"/>
        <w:spacing w:before="100" w:beforeAutospacing="1" w:after="100" w:afterAutospacing="1" w:line="360" w:lineRule="auto"/>
        <w:rPr>
          <w:rFonts w:ascii="Times New Roman" w:eastAsia="Times New Roman" w:hAnsi="Times New Roman" w:cs="Times New Roman"/>
          <w:iCs/>
          <w:color w:val="000000"/>
          <w:sz w:val="24"/>
          <w:szCs w:val="24"/>
          <w:lang w:eastAsia="it-IT"/>
        </w:rPr>
      </w:pPr>
      <w:r w:rsidRPr="0092529E">
        <w:rPr>
          <w:rFonts w:ascii="Times New Roman" w:eastAsia="Times New Roman" w:hAnsi="Times New Roman" w:cs="Times New Roman"/>
          <w:iCs/>
          <w:color w:val="000000"/>
          <w:sz w:val="24"/>
          <w:szCs w:val="24"/>
          <w:lang w:eastAsia="it-IT"/>
        </w:rPr>
        <w:t xml:space="preserve">Quanto al primo parametro, perché non essendo, per quanto detto, </w:t>
      </w:r>
      <w:proofErr w:type="gramStart"/>
      <w:r w:rsidRPr="0092529E">
        <w:rPr>
          <w:rFonts w:ascii="Times New Roman" w:eastAsia="Times New Roman" w:hAnsi="Times New Roman" w:cs="Times New Roman"/>
          <w:iCs/>
          <w:color w:val="000000"/>
          <w:sz w:val="24"/>
          <w:szCs w:val="24"/>
          <w:lang w:eastAsia="it-IT"/>
        </w:rPr>
        <w:t>configurabile</w:t>
      </w:r>
      <w:proofErr w:type="gramEnd"/>
      <w:r w:rsidRPr="0092529E">
        <w:rPr>
          <w:rFonts w:ascii="Times New Roman" w:eastAsia="Times New Roman" w:hAnsi="Times New Roman" w:cs="Times New Roman"/>
          <w:iCs/>
          <w:color w:val="000000"/>
          <w:sz w:val="24"/>
          <w:szCs w:val="24"/>
          <w:lang w:eastAsia="it-IT"/>
        </w:rPr>
        <w:t xml:space="preserve"> un diritto della coppia non più eterosessuale a rimanere unita nel vincolo del matrimonio, non ne è, di conseguenza, ipotizzabile alcun </w:t>
      </w:r>
      <w:r w:rsidRPr="0092529E">
        <w:rPr>
          <w:rFonts w:ascii="Times New Roman" w:eastAsia="Times New Roman" w:hAnsi="Times New Roman" w:cs="Times New Roman"/>
          <w:i/>
          <w:iCs/>
          <w:color w:val="000000"/>
          <w:sz w:val="24"/>
          <w:szCs w:val="24"/>
          <w:lang w:eastAsia="it-IT"/>
        </w:rPr>
        <w:t>vulnus</w:t>
      </w:r>
      <w:r w:rsidRPr="0092529E">
        <w:rPr>
          <w:rFonts w:ascii="Times New Roman" w:eastAsia="Times New Roman" w:hAnsi="Times New Roman" w:cs="Times New Roman"/>
          <w:iCs/>
          <w:color w:val="000000"/>
          <w:sz w:val="24"/>
          <w:szCs w:val="24"/>
          <w:lang w:eastAsia="it-IT"/>
        </w:rPr>
        <w:t xml:space="preserve"> sul piano della difesa.</w:t>
      </w:r>
    </w:p>
    <w:p w:rsidR="0092529E" w:rsidRPr="0092529E" w:rsidRDefault="0092529E" w:rsidP="0092529E">
      <w:pPr>
        <w:widowControl w:val="0"/>
        <w:adjustRightInd w:val="0"/>
        <w:spacing w:before="100" w:beforeAutospacing="1" w:after="100" w:afterAutospacing="1" w:line="360" w:lineRule="auto"/>
        <w:rPr>
          <w:rFonts w:ascii="Times New Roman" w:eastAsia="Times New Roman" w:hAnsi="Times New Roman" w:cs="Times New Roman"/>
          <w:iCs/>
          <w:color w:val="000000"/>
          <w:sz w:val="24"/>
          <w:szCs w:val="24"/>
          <w:lang w:eastAsia="it-IT"/>
        </w:rPr>
      </w:pPr>
      <w:r w:rsidRPr="0092529E">
        <w:rPr>
          <w:rFonts w:ascii="Times New Roman" w:eastAsia="Times New Roman" w:hAnsi="Times New Roman" w:cs="Times New Roman"/>
          <w:iCs/>
          <w:color w:val="000000"/>
          <w:sz w:val="24"/>
          <w:szCs w:val="24"/>
          <w:lang w:eastAsia="it-IT"/>
        </w:rPr>
        <w:lastRenderedPageBreak/>
        <w:t xml:space="preserve">E quanto al parametro dell’art. 3 </w:t>
      </w:r>
      <w:proofErr w:type="spellStart"/>
      <w:r w:rsidRPr="0092529E">
        <w:rPr>
          <w:rFonts w:ascii="Times New Roman" w:eastAsia="Times New Roman" w:hAnsi="Times New Roman" w:cs="Times New Roman"/>
          <w:iCs/>
          <w:color w:val="000000"/>
          <w:sz w:val="24"/>
          <w:szCs w:val="24"/>
          <w:lang w:eastAsia="it-IT"/>
        </w:rPr>
        <w:t>Cost</w:t>
      </w:r>
      <w:proofErr w:type="spellEnd"/>
      <w:r w:rsidRPr="0092529E">
        <w:rPr>
          <w:rFonts w:ascii="Times New Roman" w:eastAsia="Times New Roman" w:hAnsi="Times New Roman" w:cs="Times New Roman"/>
          <w:iCs/>
          <w:color w:val="000000"/>
          <w:sz w:val="24"/>
          <w:szCs w:val="24"/>
          <w:lang w:eastAsia="it-IT"/>
        </w:rPr>
        <w:t xml:space="preserve">., poiché la diversità della peculiare fattispecie di scioglimento a causa </w:t>
      </w:r>
      <w:proofErr w:type="gramStart"/>
      <w:r w:rsidRPr="0092529E">
        <w:rPr>
          <w:rFonts w:ascii="Times New Roman" w:eastAsia="Times New Roman" w:hAnsi="Times New Roman" w:cs="Times New Roman"/>
          <w:iCs/>
          <w:color w:val="000000"/>
          <w:sz w:val="24"/>
          <w:szCs w:val="24"/>
          <w:lang w:eastAsia="it-IT"/>
        </w:rPr>
        <w:t>di</w:t>
      </w:r>
      <w:proofErr w:type="gramEnd"/>
      <w:r w:rsidRPr="0092529E">
        <w:rPr>
          <w:rFonts w:ascii="Times New Roman" w:eastAsia="Times New Roman" w:hAnsi="Times New Roman" w:cs="Times New Roman"/>
          <w:iCs/>
          <w:color w:val="000000"/>
          <w:sz w:val="24"/>
          <w:szCs w:val="24"/>
          <w:lang w:eastAsia="it-IT"/>
        </w:rPr>
        <w:t xml:space="preserve"> mutamento del sesso di uno dei coniugi rispetto alle altre cause di scioglimento del matrimonio ne giustifica la differente disciplina.</w:t>
      </w:r>
    </w:p>
    <w:p w:rsidR="0092529E" w:rsidRPr="0092529E" w:rsidRDefault="0092529E" w:rsidP="0092529E">
      <w:pPr>
        <w:widowControl w:val="0"/>
        <w:adjustRightInd w:val="0"/>
        <w:spacing w:before="100" w:beforeAutospacing="1" w:after="100" w:afterAutospacing="1" w:line="360" w:lineRule="auto"/>
        <w:rPr>
          <w:rFonts w:ascii="Times New Roman" w:eastAsia="Times New Roman" w:hAnsi="Times New Roman" w:cs="Times New Roman"/>
          <w:iCs/>
          <w:color w:val="000000"/>
          <w:sz w:val="24"/>
          <w:szCs w:val="24"/>
          <w:lang w:eastAsia="it-IT"/>
        </w:rPr>
      </w:pPr>
      <w:r w:rsidRPr="0092529E">
        <w:rPr>
          <w:rFonts w:ascii="Times New Roman" w:eastAsia="Times New Roman" w:hAnsi="Times New Roman" w:cs="Times New Roman"/>
          <w:iCs/>
          <w:color w:val="000000"/>
          <w:sz w:val="24"/>
          <w:szCs w:val="24"/>
          <w:lang w:eastAsia="it-IT"/>
        </w:rPr>
        <w:t xml:space="preserve">5.5.− Pertinente, è invece, il riferimento al precetto dell’art. 2 </w:t>
      </w:r>
      <w:proofErr w:type="spellStart"/>
      <w:r w:rsidRPr="0092529E">
        <w:rPr>
          <w:rFonts w:ascii="Times New Roman" w:eastAsia="Times New Roman" w:hAnsi="Times New Roman" w:cs="Times New Roman"/>
          <w:iCs/>
          <w:color w:val="000000"/>
          <w:sz w:val="24"/>
          <w:szCs w:val="24"/>
          <w:lang w:eastAsia="it-IT"/>
        </w:rPr>
        <w:t>Cost</w:t>
      </w:r>
      <w:proofErr w:type="spellEnd"/>
      <w:r w:rsidRPr="0092529E">
        <w:rPr>
          <w:rFonts w:ascii="Times New Roman" w:eastAsia="Times New Roman" w:hAnsi="Times New Roman" w:cs="Times New Roman"/>
          <w:iCs/>
          <w:color w:val="000000"/>
          <w:sz w:val="24"/>
          <w:szCs w:val="24"/>
          <w:lang w:eastAsia="it-IT"/>
        </w:rPr>
        <w:t>.</w:t>
      </w:r>
    </w:p>
    <w:p w:rsidR="0092529E" w:rsidRPr="0092529E" w:rsidRDefault="0092529E" w:rsidP="0092529E">
      <w:pPr>
        <w:widowControl w:val="0"/>
        <w:adjustRightInd w:val="0"/>
        <w:spacing w:before="100" w:beforeAutospacing="1" w:after="100" w:afterAutospacing="1" w:line="360" w:lineRule="auto"/>
        <w:rPr>
          <w:rFonts w:ascii="Times New Roman" w:eastAsia="Times New Roman" w:hAnsi="Times New Roman" w:cs="Times New Roman"/>
          <w:iCs/>
          <w:color w:val="000000"/>
          <w:sz w:val="24"/>
          <w:szCs w:val="24"/>
          <w:lang w:eastAsia="it-IT"/>
        </w:rPr>
      </w:pPr>
      <w:r w:rsidRPr="0092529E">
        <w:rPr>
          <w:rFonts w:ascii="Times New Roman" w:eastAsia="Times New Roman" w:hAnsi="Times New Roman" w:cs="Times New Roman"/>
          <w:iCs/>
          <w:color w:val="000000"/>
          <w:sz w:val="24"/>
          <w:szCs w:val="24"/>
          <w:lang w:eastAsia="it-IT"/>
        </w:rPr>
        <w:t xml:space="preserve">Al riguardo questa Corte ha già avuto modo di affermare, nella richiamata </w:t>
      </w:r>
      <w:hyperlink r:id="rId8" w:history="1">
        <w:r w:rsidRPr="0092529E">
          <w:rPr>
            <w:rFonts w:ascii="Times New Roman" w:eastAsia="Times New Roman" w:hAnsi="Times New Roman" w:cs="Times New Roman"/>
            <w:iCs/>
            <w:color w:val="0000FF"/>
            <w:sz w:val="24"/>
            <w:szCs w:val="24"/>
            <w:u w:val="single"/>
            <w:lang w:eastAsia="it-IT"/>
          </w:rPr>
          <w:t>sentenza n. 138 del 2010</w:t>
        </w:r>
      </w:hyperlink>
      <w:r w:rsidRPr="0092529E">
        <w:rPr>
          <w:rFonts w:ascii="Times New Roman" w:eastAsia="Times New Roman" w:hAnsi="Times New Roman" w:cs="Times New Roman"/>
          <w:iCs/>
          <w:color w:val="000000"/>
          <w:sz w:val="24"/>
          <w:szCs w:val="24"/>
          <w:lang w:eastAsia="it-IT"/>
        </w:rPr>
        <w:t xml:space="preserve">, che nella nozione di “formazione sociale” – nel quadro della quale l’art. 2 </w:t>
      </w:r>
      <w:proofErr w:type="spellStart"/>
      <w:r w:rsidRPr="0092529E">
        <w:rPr>
          <w:rFonts w:ascii="Times New Roman" w:eastAsia="Times New Roman" w:hAnsi="Times New Roman" w:cs="Times New Roman"/>
          <w:iCs/>
          <w:color w:val="000000"/>
          <w:sz w:val="24"/>
          <w:szCs w:val="24"/>
          <w:lang w:eastAsia="it-IT"/>
        </w:rPr>
        <w:t>Cost</w:t>
      </w:r>
      <w:proofErr w:type="spellEnd"/>
      <w:r w:rsidRPr="0092529E">
        <w:rPr>
          <w:rFonts w:ascii="Times New Roman" w:eastAsia="Times New Roman" w:hAnsi="Times New Roman" w:cs="Times New Roman"/>
          <w:iCs/>
          <w:color w:val="000000"/>
          <w:sz w:val="24"/>
          <w:szCs w:val="24"/>
          <w:lang w:eastAsia="it-IT"/>
        </w:rPr>
        <w:t xml:space="preserve">. </w:t>
      </w:r>
      <w:proofErr w:type="gramStart"/>
      <w:r w:rsidRPr="0092529E">
        <w:rPr>
          <w:rFonts w:ascii="Times New Roman" w:eastAsia="Times New Roman" w:hAnsi="Times New Roman" w:cs="Times New Roman"/>
          <w:iCs/>
          <w:color w:val="000000"/>
          <w:sz w:val="24"/>
          <w:szCs w:val="24"/>
          <w:lang w:eastAsia="it-IT"/>
        </w:rPr>
        <w:t>dispone</w:t>
      </w:r>
      <w:proofErr w:type="gramEnd"/>
      <w:r w:rsidRPr="0092529E">
        <w:rPr>
          <w:rFonts w:ascii="Times New Roman" w:eastAsia="Times New Roman" w:hAnsi="Times New Roman" w:cs="Times New Roman"/>
          <w:iCs/>
          <w:color w:val="000000"/>
          <w:sz w:val="24"/>
          <w:szCs w:val="24"/>
          <w:lang w:eastAsia="it-IT"/>
        </w:rPr>
        <w:t xml:space="preserve"> che la Repubblica riconosce e garantisce i diritti inviolabili dell’uomo – «è da annoverare anche l’unione omosessuale, intesa come stabile convivenza tra due persone dello stesso sesso, cui spetta il diritto fondamentale di vivere liberamente una condizione di coppia, ottenendone – nei tempi, nei modi e nei limiti stabiliti dalla legge – il riconoscimento giuridico con i connessi diritti e doveri».</w:t>
      </w:r>
    </w:p>
    <w:p w:rsidR="0092529E" w:rsidRPr="0092529E" w:rsidRDefault="0092529E" w:rsidP="0092529E">
      <w:pPr>
        <w:widowControl w:val="0"/>
        <w:adjustRightInd w:val="0"/>
        <w:spacing w:before="100" w:beforeAutospacing="1" w:after="100" w:afterAutospacing="1" w:line="360" w:lineRule="auto"/>
        <w:rPr>
          <w:rFonts w:ascii="Times New Roman" w:eastAsia="Times New Roman" w:hAnsi="Times New Roman" w:cs="Times New Roman"/>
          <w:iCs/>
          <w:color w:val="000000"/>
          <w:sz w:val="24"/>
          <w:szCs w:val="24"/>
          <w:lang w:eastAsia="it-IT"/>
        </w:rPr>
      </w:pPr>
      <w:r w:rsidRPr="0092529E">
        <w:rPr>
          <w:rFonts w:ascii="Times New Roman" w:eastAsia="Times New Roman" w:hAnsi="Times New Roman" w:cs="Times New Roman"/>
          <w:iCs/>
          <w:color w:val="000000"/>
          <w:sz w:val="24"/>
          <w:szCs w:val="24"/>
          <w:lang w:eastAsia="it-IT"/>
        </w:rPr>
        <w:t xml:space="preserve">In quella stessa sentenza è stato, però, anche precisato doversi «escludere […] che l’aspirazione a tale riconoscimento – che necessariamente postula una disciplina di carattere generale, finalizzata a regolare diritti e doveri dei </w:t>
      </w:r>
      <w:proofErr w:type="gramStart"/>
      <w:r w:rsidRPr="0092529E">
        <w:rPr>
          <w:rFonts w:ascii="Times New Roman" w:eastAsia="Times New Roman" w:hAnsi="Times New Roman" w:cs="Times New Roman"/>
          <w:iCs/>
          <w:color w:val="000000"/>
          <w:sz w:val="24"/>
          <w:szCs w:val="24"/>
          <w:lang w:eastAsia="it-IT"/>
        </w:rPr>
        <w:t>componenti</w:t>
      </w:r>
      <w:proofErr w:type="gramEnd"/>
      <w:r w:rsidRPr="0092529E">
        <w:rPr>
          <w:rFonts w:ascii="Times New Roman" w:eastAsia="Times New Roman" w:hAnsi="Times New Roman" w:cs="Times New Roman"/>
          <w:iCs/>
          <w:color w:val="000000"/>
          <w:sz w:val="24"/>
          <w:szCs w:val="24"/>
          <w:lang w:eastAsia="it-IT"/>
        </w:rPr>
        <w:t xml:space="preserve"> della coppia – possa essere realizzata soltanto attraverso una equiparazione delle unioni omosessuali al matrimonio», come confermato, del resto, dalla diversità delle scelte operate dai Paesi che finora hanno riconosciuto le unioni suddette.</w:t>
      </w:r>
    </w:p>
    <w:p w:rsidR="0092529E" w:rsidRPr="0092529E" w:rsidRDefault="0092529E" w:rsidP="0092529E">
      <w:pPr>
        <w:widowControl w:val="0"/>
        <w:adjustRightInd w:val="0"/>
        <w:spacing w:before="100" w:beforeAutospacing="1" w:after="100" w:afterAutospacing="1" w:line="360" w:lineRule="auto"/>
        <w:rPr>
          <w:rFonts w:ascii="Times New Roman" w:eastAsia="Times New Roman" w:hAnsi="Times New Roman" w:cs="Times New Roman"/>
          <w:iCs/>
          <w:color w:val="000000"/>
          <w:sz w:val="24"/>
          <w:szCs w:val="24"/>
          <w:lang w:eastAsia="it-IT"/>
        </w:rPr>
      </w:pPr>
      <w:proofErr w:type="gramStart"/>
      <w:r w:rsidRPr="0092529E">
        <w:rPr>
          <w:rFonts w:ascii="Times New Roman" w:eastAsia="Times New Roman" w:hAnsi="Times New Roman" w:cs="Times New Roman"/>
          <w:iCs/>
          <w:color w:val="000000"/>
          <w:sz w:val="24"/>
          <w:szCs w:val="24"/>
          <w:lang w:eastAsia="it-IT"/>
        </w:rPr>
        <w:t>Dal che la conclusione, per un verso, che «nell’ambito applicativo dell’art</w:t>
      </w:r>
      <w:proofErr w:type="gramEnd"/>
      <w:r w:rsidRPr="0092529E">
        <w:rPr>
          <w:rFonts w:ascii="Times New Roman" w:eastAsia="Times New Roman" w:hAnsi="Times New Roman" w:cs="Times New Roman"/>
          <w:iCs/>
          <w:color w:val="000000"/>
          <w:sz w:val="24"/>
          <w:szCs w:val="24"/>
          <w:lang w:eastAsia="it-IT"/>
        </w:rPr>
        <w:t xml:space="preserve">. 2 </w:t>
      </w:r>
      <w:proofErr w:type="spellStart"/>
      <w:r w:rsidRPr="0092529E">
        <w:rPr>
          <w:rFonts w:ascii="Times New Roman" w:eastAsia="Times New Roman" w:hAnsi="Times New Roman" w:cs="Times New Roman"/>
          <w:iCs/>
          <w:color w:val="000000"/>
          <w:sz w:val="24"/>
          <w:szCs w:val="24"/>
          <w:lang w:eastAsia="it-IT"/>
        </w:rPr>
        <w:t>Cost</w:t>
      </w:r>
      <w:proofErr w:type="spellEnd"/>
      <w:r w:rsidRPr="0092529E">
        <w:rPr>
          <w:rFonts w:ascii="Times New Roman" w:eastAsia="Times New Roman" w:hAnsi="Times New Roman" w:cs="Times New Roman"/>
          <w:iCs/>
          <w:color w:val="000000"/>
          <w:sz w:val="24"/>
          <w:szCs w:val="24"/>
          <w:lang w:eastAsia="it-IT"/>
        </w:rPr>
        <w:t xml:space="preserve">., spetta al Parlamento, nell’esercizio della sua piena discrezionalità, individuare le forme di garanzia e di riconoscimento per le unioni suddette», e, per altro verso, che resta, però, comunque, «riservata alla Corte costituzionale la possibilità di intervenire a tutela di specifiche situazioni», </w:t>
      </w:r>
      <w:proofErr w:type="gramStart"/>
      <w:r w:rsidRPr="0092529E">
        <w:rPr>
          <w:rFonts w:ascii="Times New Roman" w:eastAsia="Times New Roman" w:hAnsi="Times New Roman" w:cs="Times New Roman"/>
          <w:iCs/>
          <w:color w:val="000000"/>
          <w:sz w:val="24"/>
          <w:szCs w:val="24"/>
          <w:lang w:eastAsia="it-IT"/>
        </w:rPr>
        <w:t>nel quadro di</w:t>
      </w:r>
      <w:proofErr w:type="gramEnd"/>
      <w:r w:rsidRPr="0092529E">
        <w:rPr>
          <w:rFonts w:ascii="Times New Roman" w:eastAsia="Times New Roman" w:hAnsi="Times New Roman" w:cs="Times New Roman"/>
          <w:iCs/>
          <w:color w:val="000000"/>
          <w:sz w:val="24"/>
          <w:szCs w:val="24"/>
          <w:lang w:eastAsia="it-IT"/>
        </w:rPr>
        <w:t xml:space="preserve"> un controllo di ragionevolezza della rispettiva disciplina. </w:t>
      </w:r>
    </w:p>
    <w:p w:rsidR="0092529E" w:rsidRPr="0092529E" w:rsidRDefault="0092529E" w:rsidP="0092529E">
      <w:pPr>
        <w:widowControl w:val="0"/>
        <w:adjustRightInd w:val="0"/>
        <w:spacing w:before="100" w:beforeAutospacing="1" w:after="100" w:afterAutospacing="1" w:line="360" w:lineRule="auto"/>
        <w:rPr>
          <w:rFonts w:ascii="Times New Roman" w:eastAsia="Times New Roman" w:hAnsi="Times New Roman" w:cs="Times New Roman"/>
          <w:iCs/>
          <w:color w:val="000000"/>
          <w:sz w:val="24"/>
          <w:szCs w:val="24"/>
          <w:lang w:eastAsia="it-IT"/>
        </w:rPr>
      </w:pPr>
      <w:r w:rsidRPr="0092529E">
        <w:rPr>
          <w:rFonts w:ascii="Times New Roman" w:eastAsia="Times New Roman" w:hAnsi="Times New Roman" w:cs="Times New Roman"/>
          <w:iCs/>
          <w:color w:val="000000"/>
          <w:sz w:val="24"/>
          <w:szCs w:val="24"/>
          <w:lang w:eastAsia="it-IT"/>
        </w:rPr>
        <w:t xml:space="preserve">5.6.− Sulla linea dei principi enunciati nella riferita sentenza, è innegabile che la condizione dei coniugi che intendano proseguire nella loro vita di coppia, pur dopo la modifica dei caratteri sessuali di uno di essi, con conseguente rettificazione anagrafica, sia riconducibile a quella categoria di situazioni “specifiche” e “particolari” di coppie dello stesso sesso, con riguardo </w:t>
      </w:r>
      <w:proofErr w:type="gramStart"/>
      <w:r w:rsidRPr="0092529E">
        <w:rPr>
          <w:rFonts w:ascii="Times New Roman" w:eastAsia="Times New Roman" w:hAnsi="Times New Roman" w:cs="Times New Roman"/>
          <w:iCs/>
          <w:color w:val="000000"/>
          <w:sz w:val="24"/>
          <w:szCs w:val="24"/>
          <w:lang w:eastAsia="it-IT"/>
        </w:rPr>
        <w:t>alle quali</w:t>
      </w:r>
      <w:proofErr w:type="gramEnd"/>
      <w:r w:rsidRPr="0092529E">
        <w:rPr>
          <w:rFonts w:ascii="Times New Roman" w:eastAsia="Times New Roman" w:hAnsi="Times New Roman" w:cs="Times New Roman"/>
          <w:iCs/>
          <w:color w:val="000000"/>
          <w:sz w:val="24"/>
          <w:szCs w:val="24"/>
          <w:lang w:eastAsia="it-IT"/>
        </w:rPr>
        <w:t xml:space="preserve"> ricorrono i presupposti per un intervento di questa Corte per il profilo, appunto, di un controllo di adeguatezza e proporzionalità della disciplina adottata dal legislatore.</w:t>
      </w:r>
    </w:p>
    <w:p w:rsidR="0092529E" w:rsidRPr="0092529E" w:rsidRDefault="0092529E" w:rsidP="0092529E">
      <w:pPr>
        <w:widowControl w:val="0"/>
        <w:adjustRightInd w:val="0"/>
        <w:spacing w:before="100" w:beforeAutospacing="1" w:after="100" w:afterAutospacing="1" w:line="360" w:lineRule="auto"/>
        <w:rPr>
          <w:rFonts w:ascii="Times New Roman" w:eastAsia="Times New Roman" w:hAnsi="Times New Roman" w:cs="Times New Roman"/>
          <w:iCs/>
          <w:color w:val="000000"/>
          <w:sz w:val="24"/>
          <w:szCs w:val="24"/>
          <w:lang w:eastAsia="it-IT"/>
        </w:rPr>
      </w:pPr>
      <w:r w:rsidRPr="0092529E">
        <w:rPr>
          <w:rFonts w:ascii="Times New Roman" w:eastAsia="Times New Roman" w:hAnsi="Times New Roman" w:cs="Times New Roman"/>
          <w:iCs/>
          <w:color w:val="000000"/>
          <w:sz w:val="24"/>
          <w:szCs w:val="24"/>
          <w:lang w:eastAsia="it-IT"/>
        </w:rPr>
        <w:t xml:space="preserve">La fattispecie peculiare che viene </w:t>
      </w:r>
      <w:proofErr w:type="gramStart"/>
      <w:r w:rsidRPr="0092529E">
        <w:rPr>
          <w:rFonts w:ascii="Times New Roman" w:eastAsia="Times New Roman" w:hAnsi="Times New Roman" w:cs="Times New Roman"/>
          <w:iCs/>
          <w:color w:val="000000"/>
          <w:sz w:val="24"/>
          <w:szCs w:val="24"/>
          <w:lang w:eastAsia="it-IT"/>
        </w:rPr>
        <w:t>qui</w:t>
      </w:r>
      <w:proofErr w:type="gramEnd"/>
      <w:r w:rsidRPr="0092529E">
        <w:rPr>
          <w:rFonts w:ascii="Times New Roman" w:eastAsia="Times New Roman" w:hAnsi="Times New Roman" w:cs="Times New Roman"/>
          <w:iCs/>
          <w:color w:val="000000"/>
          <w:sz w:val="24"/>
          <w:szCs w:val="24"/>
          <w:lang w:eastAsia="it-IT"/>
        </w:rPr>
        <w:t xml:space="preserve"> in considerazione coinvolge, infatti, da un lato, l’interesse dello Stato a non modificare il modello eterosessuale del matrimonio (e a non consentirne, quindi, la prosecuzione, una volta venuto meno il requisito essenziale della diversità di </w:t>
      </w:r>
      <w:r w:rsidRPr="0092529E">
        <w:rPr>
          <w:rFonts w:ascii="Times New Roman" w:eastAsia="Times New Roman" w:hAnsi="Times New Roman" w:cs="Times New Roman"/>
          <w:iCs/>
          <w:color w:val="000000"/>
          <w:sz w:val="24"/>
          <w:szCs w:val="24"/>
          <w:lang w:eastAsia="it-IT"/>
        </w:rPr>
        <w:lastRenderedPageBreak/>
        <w:t xml:space="preserve">sesso dei coniugi) e, dall’altro lato, l’interesse della coppia, attraversata da una vicenda di rettificazione di sesso, a che l’esercizio della libertà di scelta compiuta dall’un coniuge con il consenso dell’altro, relativamente ad un tal significativo aspetto della identità personale, non sia eccessivamente penalizzato con il sacrificio integrale della dimensione giuridica del preesistente rapporto, che essa vorrebbe, viceversa, mantenere in essere (in tal ultimo senso si sono indirizzate le pronunce della Corte costituzionale austriaca – </w:t>
      </w:r>
      <w:proofErr w:type="spellStart"/>
      <w:r w:rsidRPr="0092529E">
        <w:rPr>
          <w:rFonts w:ascii="Times New Roman" w:eastAsia="Times New Roman" w:hAnsi="Times New Roman" w:cs="Times New Roman"/>
          <w:iCs/>
          <w:color w:val="000000"/>
          <w:sz w:val="24"/>
          <w:szCs w:val="24"/>
          <w:lang w:eastAsia="it-IT"/>
        </w:rPr>
        <w:t>VerfG</w:t>
      </w:r>
      <w:proofErr w:type="spellEnd"/>
      <w:r w:rsidRPr="0092529E">
        <w:rPr>
          <w:rFonts w:ascii="Times New Roman" w:eastAsia="Times New Roman" w:hAnsi="Times New Roman" w:cs="Times New Roman"/>
          <w:iCs/>
          <w:color w:val="000000"/>
          <w:sz w:val="24"/>
          <w:szCs w:val="24"/>
          <w:lang w:eastAsia="it-IT"/>
        </w:rPr>
        <w:t xml:space="preserve"> 8 giugno 2006, n. 17849 – e della Corte costituzionale tedesca </w:t>
      </w:r>
      <w:proofErr w:type="spellStart"/>
      <w:r w:rsidRPr="0092529E">
        <w:rPr>
          <w:rFonts w:ascii="Times New Roman" w:eastAsia="Times New Roman" w:hAnsi="Times New Roman" w:cs="Times New Roman"/>
          <w:iCs/>
          <w:color w:val="000000"/>
          <w:sz w:val="24"/>
          <w:szCs w:val="24"/>
          <w:lang w:eastAsia="it-IT"/>
        </w:rPr>
        <w:t>BVerfG</w:t>
      </w:r>
      <w:proofErr w:type="spellEnd"/>
      <w:r w:rsidRPr="0092529E">
        <w:rPr>
          <w:rFonts w:ascii="Times New Roman" w:eastAsia="Times New Roman" w:hAnsi="Times New Roman" w:cs="Times New Roman"/>
          <w:iCs/>
          <w:color w:val="000000"/>
          <w:sz w:val="24"/>
          <w:szCs w:val="24"/>
          <w:lang w:eastAsia="it-IT"/>
        </w:rPr>
        <w:t xml:space="preserve">, 1, Senato, </w:t>
      </w:r>
      <w:proofErr w:type="spellStart"/>
      <w:r w:rsidRPr="0092529E">
        <w:rPr>
          <w:rFonts w:ascii="Times New Roman" w:eastAsia="Times New Roman" w:hAnsi="Times New Roman" w:cs="Times New Roman"/>
          <w:iCs/>
          <w:color w:val="000000"/>
          <w:sz w:val="24"/>
          <w:szCs w:val="24"/>
          <w:lang w:eastAsia="it-IT"/>
        </w:rPr>
        <w:t>ord</w:t>
      </w:r>
      <w:proofErr w:type="spellEnd"/>
      <w:r w:rsidRPr="0092529E">
        <w:rPr>
          <w:rFonts w:ascii="Times New Roman" w:eastAsia="Times New Roman" w:hAnsi="Times New Roman" w:cs="Times New Roman"/>
          <w:iCs/>
          <w:color w:val="000000"/>
          <w:sz w:val="24"/>
          <w:szCs w:val="24"/>
          <w:lang w:eastAsia="it-IT"/>
        </w:rPr>
        <w:t xml:space="preserve">. 27 maggio 2008, </w:t>
      </w:r>
      <w:proofErr w:type="spellStart"/>
      <w:r w:rsidRPr="0092529E">
        <w:rPr>
          <w:rFonts w:ascii="Times New Roman" w:eastAsia="Times New Roman" w:hAnsi="Times New Roman" w:cs="Times New Roman"/>
          <w:iCs/>
          <w:color w:val="000000"/>
          <w:sz w:val="24"/>
          <w:szCs w:val="24"/>
          <w:lang w:eastAsia="it-IT"/>
        </w:rPr>
        <w:t>BvL</w:t>
      </w:r>
      <w:proofErr w:type="spellEnd"/>
      <w:r w:rsidRPr="0092529E">
        <w:rPr>
          <w:rFonts w:ascii="Times New Roman" w:eastAsia="Times New Roman" w:hAnsi="Times New Roman" w:cs="Times New Roman"/>
          <w:iCs/>
          <w:color w:val="000000"/>
          <w:sz w:val="24"/>
          <w:szCs w:val="24"/>
          <w:lang w:eastAsia="it-IT"/>
        </w:rPr>
        <w:t xml:space="preserve"> 10/05) .</w:t>
      </w:r>
    </w:p>
    <w:p w:rsidR="0092529E" w:rsidRPr="0092529E" w:rsidRDefault="0092529E" w:rsidP="0092529E">
      <w:pPr>
        <w:widowControl w:val="0"/>
        <w:adjustRightInd w:val="0"/>
        <w:spacing w:before="100" w:beforeAutospacing="1" w:after="100" w:afterAutospacing="1" w:line="360" w:lineRule="auto"/>
        <w:rPr>
          <w:rFonts w:ascii="Times New Roman" w:eastAsia="Times New Roman" w:hAnsi="Times New Roman" w:cs="Times New Roman"/>
          <w:iCs/>
          <w:color w:val="000000"/>
          <w:sz w:val="24"/>
          <w:szCs w:val="24"/>
          <w:lang w:eastAsia="it-IT"/>
        </w:rPr>
      </w:pPr>
      <w:r w:rsidRPr="0092529E">
        <w:rPr>
          <w:rFonts w:ascii="Times New Roman" w:eastAsia="Times New Roman" w:hAnsi="Times New Roman" w:cs="Times New Roman"/>
          <w:iCs/>
          <w:color w:val="000000"/>
          <w:sz w:val="24"/>
          <w:szCs w:val="24"/>
          <w:lang w:eastAsia="it-IT"/>
        </w:rPr>
        <w:t>La normativa – della cui legittimità dubita la Corte rimettente – risolve un tale contrasto di interessi in termini di tutela esclusiva di quello statuale alla non modificazione dei caratteri fondamentali dell’istituto del matrimonio, restando chiusa ad ogni qualsiasi, pur possibile, forma di suo bilanciamento con gli interessi della coppia, non più eterosessuale, ma che, in ragione del pregresso vissuto nel contesto di un regolare matrimonio, reclama di essere, comunque, tutelata come «forma di comunità», connotata dalla «stabile convivenza tra due persone», «idonea a consentire e favorire il libero sviluppo della persona nella vita di relazione» (</w:t>
      </w:r>
      <w:hyperlink r:id="rId9" w:history="1">
        <w:r w:rsidRPr="0092529E">
          <w:rPr>
            <w:rFonts w:ascii="Times New Roman" w:eastAsia="Times New Roman" w:hAnsi="Times New Roman" w:cs="Times New Roman"/>
            <w:iCs/>
            <w:color w:val="0000FF"/>
            <w:sz w:val="24"/>
            <w:szCs w:val="24"/>
            <w:u w:val="single"/>
            <w:lang w:eastAsia="it-IT"/>
          </w:rPr>
          <w:t>sentenza n. 138 del 2010</w:t>
        </w:r>
      </w:hyperlink>
      <w:r w:rsidRPr="0092529E">
        <w:rPr>
          <w:rFonts w:ascii="Times New Roman" w:eastAsia="Times New Roman" w:hAnsi="Times New Roman" w:cs="Times New Roman"/>
          <w:iCs/>
          <w:color w:val="000000"/>
          <w:sz w:val="24"/>
          <w:szCs w:val="24"/>
          <w:lang w:eastAsia="it-IT"/>
        </w:rPr>
        <w:t>).</w:t>
      </w:r>
    </w:p>
    <w:p w:rsidR="0092529E" w:rsidRPr="0092529E" w:rsidRDefault="0092529E" w:rsidP="0092529E">
      <w:pPr>
        <w:widowControl w:val="0"/>
        <w:adjustRightInd w:val="0"/>
        <w:spacing w:before="100" w:beforeAutospacing="1" w:after="100" w:afterAutospacing="1" w:line="360" w:lineRule="auto"/>
        <w:rPr>
          <w:rFonts w:ascii="Times New Roman" w:eastAsia="Times New Roman" w:hAnsi="Times New Roman" w:cs="Times New Roman"/>
          <w:iCs/>
          <w:color w:val="000000"/>
          <w:sz w:val="24"/>
          <w:szCs w:val="24"/>
          <w:lang w:eastAsia="it-IT"/>
        </w:rPr>
      </w:pPr>
      <w:r w:rsidRPr="0092529E">
        <w:rPr>
          <w:rFonts w:ascii="Times New Roman" w:eastAsia="Times New Roman" w:hAnsi="Times New Roman" w:cs="Times New Roman"/>
          <w:iCs/>
          <w:color w:val="000000"/>
          <w:sz w:val="24"/>
          <w:szCs w:val="24"/>
          <w:lang w:eastAsia="it-IT"/>
        </w:rPr>
        <w:t xml:space="preserve">Sta in ciò, dunque, la ragione del </w:t>
      </w:r>
      <w:r w:rsidRPr="0092529E">
        <w:rPr>
          <w:rFonts w:ascii="Times New Roman" w:eastAsia="Times New Roman" w:hAnsi="Times New Roman" w:cs="Times New Roman"/>
          <w:i/>
          <w:iCs/>
          <w:color w:val="000000"/>
          <w:sz w:val="24"/>
          <w:szCs w:val="24"/>
          <w:lang w:eastAsia="it-IT"/>
        </w:rPr>
        <w:t>vulnus</w:t>
      </w:r>
      <w:r w:rsidRPr="0092529E">
        <w:rPr>
          <w:rFonts w:ascii="Times New Roman" w:eastAsia="Times New Roman" w:hAnsi="Times New Roman" w:cs="Times New Roman"/>
          <w:iCs/>
          <w:color w:val="000000"/>
          <w:sz w:val="24"/>
          <w:szCs w:val="24"/>
          <w:lang w:eastAsia="it-IT"/>
        </w:rPr>
        <w:t xml:space="preserve"> che, per il profilo in esame, le disposizioni sottoposte al vaglio di costituzionalità </w:t>
      </w:r>
      <w:proofErr w:type="gramStart"/>
      <w:r w:rsidRPr="0092529E">
        <w:rPr>
          <w:rFonts w:ascii="Times New Roman" w:eastAsia="Times New Roman" w:hAnsi="Times New Roman" w:cs="Times New Roman"/>
          <w:iCs/>
          <w:color w:val="000000"/>
          <w:sz w:val="24"/>
          <w:szCs w:val="24"/>
          <w:lang w:eastAsia="it-IT"/>
        </w:rPr>
        <w:t>arrecano</w:t>
      </w:r>
      <w:proofErr w:type="gramEnd"/>
      <w:r w:rsidRPr="0092529E">
        <w:rPr>
          <w:rFonts w:ascii="Times New Roman" w:eastAsia="Times New Roman" w:hAnsi="Times New Roman" w:cs="Times New Roman"/>
          <w:iCs/>
          <w:color w:val="000000"/>
          <w:sz w:val="24"/>
          <w:szCs w:val="24"/>
          <w:lang w:eastAsia="it-IT"/>
        </w:rPr>
        <w:t xml:space="preserve"> al precetto dell’art. 2 </w:t>
      </w:r>
      <w:proofErr w:type="spellStart"/>
      <w:r w:rsidRPr="0092529E">
        <w:rPr>
          <w:rFonts w:ascii="Times New Roman" w:eastAsia="Times New Roman" w:hAnsi="Times New Roman" w:cs="Times New Roman"/>
          <w:iCs/>
          <w:color w:val="000000"/>
          <w:sz w:val="24"/>
          <w:szCs w:val="24"/>
          <w:lang w:eastAsia="it-IT"/>
        </w:rPr>
        <w:t>Cost</w:t>
      </w:r>
      <w:proofErr w:type="spellEnd"/>
      <w:r w:rsidRPr="0092529E">
        <w:rPr>
          <w:rFonts w:ascii="Times New Roman" w:eastAsia="Times New Roman" w:hAnsi="Times New Roman" w:cs="Times New Roman"/>
          <w:iCs/>
          <w:color w:val="000000"/>
          <w:sz w:val="24"/>
          <w:szCs w:val="24"/>
          <w:lang w:eastAsia="it-IT"/>
        </w:rPr>
        <w:t>.</w:t>
      </w:r>
    </w:p>
    <w:p w:rsidR="0092529E" w:rsidRPr="0092529E" w:rsidRDefault="0092529E" w:rsidP="0092529E">
      <w:pPr>
        <w:widowControl w:val="0"/>
        <w:adjustRightInd w:val="0"/>
        <w:spacing w:before="100" w:beforeAutospacing="1" w:after="100" w:afterAutospacing="1" w:line="360" w:lineRule="auto"/>
        <w:rPr>
          <w:rFonts w:ascii="Times New Roman" w:eastAsia="Times New Roman" w:hAnsi="Times New Roman" w:cs="Times New Roman"/>
          <w:bCs/>
          <w:iCs/>
          <w:color w:val="000000"/>
          <w:sz w:val="24"/>
          <w:szCs w:val="24"/>
          <w:lang w:eastAsia="it-IT"/>
        </w:rPr>
      </w:pPr>
      <w:r w:rsidRPr="0092529E">
        <w:rPr>
          <w:rFonts w:ascii="Times New Roman" w:eastAsia="Times New Roman" w:hAnsi="Times New Roman" w:cs="Times New Roman"/>
          <w:iCs/>
          <w:color w:val="000000"/>
          <w:sz w:val="24"/>
          <w:szCs w:val="24"/>
          <w:lang w:eastAsia="it-IT"/>
        </w:rPr>
        <w:t>Tuttavia, non ne è possibile</w:t>
      </w:r>
      <w:r w:rsidRPr="0092529E">
        <w:rPr>
          <w:rFonts w:ascii="Times New Roman" w:eastAsia="Times New Roman" w:hAnsi="Times New Roman" w:cs="Times New Roman"/>
          <w:i/>
          <w:iCs/>
          <w:color w:val="000000"/>
          <w:sz w:val="24"/>
          <w:szCs w:val="24"/>
          <w:lang w:eastAsia="it-IT"/>
        </w:rPr>
        <w:t xml:space="preserve"> la reductio </w:t>
      </w:r>
      <w:proofErr w:type="gramStart"/>
      <w:r w:rsidRPr="0092529E">
        <w:rPr>
          <w:rFonts w:ascii="Times New Roman" w:eastAsia="Times New Roman" w:hAnsi="Times New Roman" w:cs="Times New Roman"/>
          <w:i/>
          <w:iCs/>
          <w:color w:val="000000"/>
          <w:sz w:val="24"/>
          <w:szCs w:val="24"/>
          <w:lang w:eastAsia="it-IT"/>
        </w:rPr>
        <w:t>ad</w:t>
      </w:r>
      <w:proofErr w:type="gramEnd"/>
      <w:r w:rsidRPr="0092529E">
        <w:rPr>
          <w:rFonts w:ascii="Times New Roman" w:eastAsia="Times New Roman" w:hAnsi="Times New Roman" w:cs="Times New Roman"/>
          <w:i/>
          <w:iCs/>
          <w:color w:val="000000"/>
          <w:sz w:val="24"/>
          <w:szCs w:val="24"/>
          <w:lang w:eastAsia="it-IT"/>
        </w:rPr>
        <w:t xml:space="preserve"> </w:t>
      </w:r>
      <w:proofErr w:type="spellStart"/>
      <w:r w:rsidRPr="0092529E">
        <w:rPr>
          <w:rFonts w:ascii="Times New Roman" w:eastAsia="Times New Roman" w:hAnsi="Times New Roman" w:cs="Times New Roman"/>
          <w:bCs/>
          <w:i/>
          <w:iCs/>
          <w:color w:val="000000"/>
          <w:sz w:val="24"/>
          <w:szCs w:val="24"/>
          <w:lang w:eastAsia="it-IT"/>
        </w:rPr>
        <w:t>legitimitatem</w:t>
      </w:r>
      <w:proofErr w:type="spellEnd"/>
      <w:r w:rsidRPr="0092529E">
        <w:rPr>
          <w:rFonts w:ascii="Times New Roman" w:eastAsia="Times New Roman" w:hAnsi="Times New Roman" w:cs="Times New Roman"/>
          <w:bCs/>
          <w:i/>
          <w:iCs/>
          <w:color w:val="000000"/>
          <w:sz w:val="24"/>
          <w:szCs w:val="24"/>
          <w:lang w:eastAsia="it-IT"/>
        </w:rPr>
        <w:t xml:space="preserve"> </w:t>
      </w:r>
      <w:r w:rsidRPr="0092529E">
        <w:rPr>
          <w:rFonts w:ascii="Times New Roman" w:eastAsia="Times New Roman" w:hAnsi="Times New Roman" w:cs="Times New Roman"/>
          <w:bCs/>
          <w:iCs/>
          <w:color w:val="000000"/>
          <w:sz w:val="24"/>
          <w:szCs w:val="24"/>
          <w:lang w:eastAsia="it-IT"/>
        </w:rPr>
        <w:t xml:space="preserve">mediante una pronuncia manipolativa, che sostituisca il divorzio automatico con un divorzio a domanda, poiché ciò equivarrebbe a rendere possibile il perdurare del vincolo matrimoniale tra soggetti del medesimo sesso, in contrasto con l’art. 29 </w:t>
      </w:r>
      <w:proofErr w:type="spellStart"/>
      <w:r w:rsidRPr="0092529E">
        <w:rPr>
          <w:rFonts w:ascii="Times New Roman" w:eastAsia="Times New Roman" w:hAnsi="Times New Roman" w:cs="Times New Roman"/>
          <w:bCs/>
          <w:iCs/>
          <w:color w:val="000000"/>
          <w:sz w:val="24"/>
          <w:szCs w:val="24"/>
          <w:lang w:eastAsia="it-IT"/>
        </w:rPr>
        <w:t>Cost</w:t>
      </w:r>
      <w:proofErr w:type="spellEnd"/>
      <w:r w:rsidRPr="0092529E">
        <w:rPr>
          <w:rFonts w:ascii="Times New Roman" w:eastAsia="Times New Roman" w:hAnsi="Times New Roman" w:cs="Times New Roman"/>
          <w:bCs/>
          <w:iCs/>
          <w:color w:val="000000"/>
          <w:sz w:val="24"/>
          <w:szCs w:val="24"/>
          <w:lang w:eastAsia="it-IT"/>
        </w:rPr>
        <w:t xml:space="preserve">. </w:t>
      </w:r>
      <w:proofErr w:type="gramStart"/>
      <w:r w:rsidRPr="0092529E">
        <w:rPr>
          <w:rFonts w:ascii="Times New Roman" w:eastAsia="Times New Roman" w:hAnsi="Times New Roman" w:cs="Times New Roman"/>
          <w:bCs/>
          <w:iCs/>
          <w:color w:val="000000"/>
          <w:sz w:val="24"/>
          <w:szCs w:val="24"/>
          <w:lang w:eastAsia="it-IT"/>
        </w:rPr>
        <w:t>Sarà</w:t>
      </w:r>
      <w:proofErr w:type="gramEnd"/>
      <w:r w:rsidRPr="0092529E">
        <w:rPr>
          <w:rFonts w:ascii="Times New Roman" w:eastAsia="Times New Roman" w:hAnsi="Times New Roman" w:cs="Times New Roman"/>
          <w:bCs/>
          <w:iCs/>
          <w:color w:val="000000"/>
          <w:sz w:val="24"/>
          <w:szCs w:val="24"/>
          <w:lang w:eastAsia="it-IT"/>
        </w:rPr>
        <w:t xml:space="preserve">, quindi, compito del legislatore introdurre una forma alternativa (e diversa dal matrimonio) che consenta ai due coniugi di evitare il passaggio da uno stato di massima protezione giuridica ad una condizione, su tal piano, di assoluta indeterminatezza. E tal compito il legislatore è chiamato ad assolvere con la massima sollecitudine per superare la rilevata condizione </w:t>
      </w:r>
      <w:proofErr w:type="gramStart"/>
      <w:r w:rsidRPr="0092529E">
        <w:rPr>
          <w:rFonts w:ascii="Times New Roman" w:eastAsia="Times New Roman" w:hAnsi="Times New Roman" w:cs="Times New Roman"/>
          <w:bCs/>
          <w:iCs/>
          <w:color w:val="000000"/>
          <w:sz w:val="24"/>
          <w:szCs w:val="24"/>
          <w:lang w:eastAsia="it-IT"/>
        </w:rPr>
        <w:t xml:space="preserve">di </w:t>
      </w:r>
      <w:proofErr w:type="gramEnd"/>
      <w:r w:rsidRPr="0092529E">
        <w:rPr>
          <w:rFonts w:ascii="Times New Roman" w:eastAsia="Times New Roman" w:hAnsi="Times New Roman" w:cs="Times New Roman"/>
          <w:bCs/>
          <w:iCs/>
          <w:color w:val="000000"/>
          <w:sz w:val="24"/>
          <w:szCs w:val="24"/>
          <w:lang w:eastAsia="it-IT"/>
        </w:rPr>
        <w:t>illegittimità della disciplina in esame per il profilo dell’attuale deficit di tutela dei diritti dei soggetti in essa coinvolti.</w:t>
      </w:r>
    </w:p>
    <w:p w:rsidR="0092529E" w:rsidRPr="0092529E" w:rsidRDefault="0092529E" w:rsidP="0092529E">
      <w:pPr>
        <w:widowControl w:val="0"/>
        <w:adjustRightInd w:val="0"/>
        <w:spacing w:before="100" w:beforeAutospacing="1" w:after="100" w:afterAutospacing="1" w:line="360" w:lineRule="auto"/>
        <w:rPr>
          <w:rFonts w:ascii="Times New Roman" w:eastAsia="Times New Roman" w:hAnsi="Times New Roman" w:cs="Times New Roman"/>
          <w:iCs/>
          <w:color w:val="000000"/>
          <w:sz w:val="24"/>
          <w:szCs w:val="24"/>
          <w:lang w:eastAsia="it-IT"/>
        </w:rPr>
      </w:pPr>
      <w:r w:rsidRPr="0092529E">
        <w:rPr>
          <w:rFonts w:ascii="Times New Roman" w:eastAsia="Times New Roman" w:hAnsi="Times New Roman" w:cs="Times New Roman"/>
          <w:iCs/>
          <w:color w:val="000000"/>
          <w:sz w:val="24"/>
          <w:szCs w:val="24"/>
          <w:lang w:eastAsia="it-IT"/>
        </w:rPr>
        <w:t xml:space="preserve">5.7.− Va, pertanto, dichiarata – in accoglimento, per quanto di ragione, delle sollevate questioni − l’illegittimità costituzionale degli artt. 2 e </w:t>
      </w:r>
      <w:proofErr w:type="gramStart"/>
      <w:r w:rsidRPr="0092529E">
        <w:rPr>
          <w:rFonts w:ascii="Times New Roman" w:eastAsia="Times New Roman" w:hAnsi="Times New Roman" w:cs="Times New Roman"/>
          <w:iCs/>
          <w:color w:val="000000"/>
          <w:sz w:val="24"/>
          <w:szCs w:val="24"/>
          <w:lang w:eastAsia="it-IT"/>
        </w:rPr>
        <w:t>4</w:t>
      </w:r>
      <w:proofErr w:type="gramEnd"/>
      <w:r w:rsidRPr="0092529E">
        <w:rPr>
          <w:rFonts w:ascii="Times New Roman" w:eastAsia="Times New Roman" w:hAnsi="Times New Roman" w:cs="Times New Roman"/>
          <w:iCs/>
          <w:color w:val="000000"/>
          <w:sz w:val="24"/>
          <w:szCs w:val="24"/>
          <w:lang w:eastAsia="it-IT"/>
        </w:rPr>
        <w:t xml:space="preserve"> della legge 14 aprile 1982 n. 164, con riferimento all’art. 2 </w:t>
      </w:r>
      <w:proofErr w:type="spellStart"/>
      <w:r w:rsidRPr="0092529E">
        <w:rPr>
          <w:rFonts w:ascii="Times New Roman" w:eastAsia="Times New Roman" w:hAnsi="Times New Roman" w:cs="Times New Roman"/>
          <w:iCs/>
          <w:color w:val="000000"/>
          <w:sz w:val="24"/>
          <w:szCs w:val="24"/>
          <w:lang w:eastAsia="it-IT"/>
        </w:rPr>
        <w:t>Cost</w:t>
      </w:r>
      <w:proofErr w:type="spellEnd"/>
      <w:r w:rsidRPr="0092529E">
        <w:rPr>
          <w:rFonts w:ascii="Times New Roman" w:eastAsia="Times New Roman" w:hAnsi="Times New Roman" w:cs="Times New Roman"/>
          <w:iCs/>
          <w:color w:val="000000"/>
          <w:sz w:val="24"/>
          <w:szCs w:val="24"/>
          <w:lang w:eastAsia="it-IT"/>
        </w:rPr>
        <w:t xml:space="preserve">., nella parte in cui non prevedono che la sentenza di rettificazione dell’attribuzione di sesso di uno dei coniugi, che comporta lo scioglimento del matrimonio, consenta, comunque, ove entrambi lo richiedano, di mantenere in vita un rapporto di coppia giuridicamente regolato con altra forma di convivenza registrata, che tuteli adeguatamente i diritti </w:t>
      </w:r>
      <w:proofErr w:type="gramStart"/>
      <w:r w:rsidRPr="0092529E">
        <w:rPr>
          <w:rFonts w:ascii="Times New Roman" w:eastAsia="Times New Roman" w:hAnsi="Times New Roman" w:cs="Times New Roman"/>
          <w:iCs/>
          <w:color w:val="000000"/>
          <w:sz w:val="24"/>
          <w:szCs w:val="24"/>
          <w:lang w:eastAsia="it-IT"/>
        </w:rPr>
        <w:lastRenderedPageBreak/>
        <w:t>ed</w:t>
      </w:r>
      <w:proofErr w:type="gramEnd"/>
      <w:r w:rsidRPr="0092529E">
        <w:rPr>
          <w:rFonts w:ascii="Times New Roman" w:eastAsia="Times New Roman" w:hAnsi="Times New Roman" w:cs="Times New Roman"/>
          <w:iCs/>
          <w:color w:val="000000"/>
          <w:sz w:val="24"/>
          <w:szCs w:val="24"/>
          <w:lang w:eastAsia="it-IT"/>
        </w:rPr>
        <w:t xml:space="preserve"> obblighi della</w:t>
      </w:r>
      <w:r w:rsidRPr="0092529E">
        <w:rPr>
          <w:rFonts w:ascii="Times New Roman" w:eastAsia="Times New Roman" w:hAnsi="Times New Roman" w:cs="Times New Roman"/>
          <w:b/>
          <w:iCs/>
          <w:color w:val="000000"/>
          <w:sz w:val="24"/>
          <w:szCs w:val="24"/>
          <w:lang w:eastAsia="it-IT"/>
        </w:rPr>
        <w:t xml:space="preserve"> </w:t>
      </w:r>
      <w:r w:rsidRPr="0092529E">
        <w:rPr>
          <w:rFonts w:ascii="Times New Roman" w:eastAsia="Times New Roman" w:hAnsi="Times New Roman" w:cs="Times New Roman"/>
          <w:iCs/>
          <w:color w:val="000000"/>
          <w:sz w:val="24"/>
          <w:szCs w:val="24"/>
          <w:lang w:eastAsia="it-IT"/>
        </w:rPr>
        <w:t>coppia medesima, la cui disciplina rimane demandata alla discrezionalità di scelta del legislatore.</w:t>
      </w:r>
    </w:p>
    <w:p w:rsidR="0092529E" w:rsidRPr="0092529E" w:rsidRDefault="0092529E" w:rsidP="0092529E">
      <w:pPr>
        <w:widowControl w:val="0"/>
        <w:adjustRightInd w:val="0"/>
        <w:spacing w:before="100" w:beforeAutospacing="1" w:after="100" w:afterAutospacing="1" w:line="360" w:lineRule="auto"/>
        <w:rPr>
          <w:rFonts w:ascii="Times New Roman" w:eastAsia="Times New Roman" w:hAnsi="Times New Roman" w:cs="Times New Roman"/>
          <w:iCs/>
          <w:color w:val="000000"/>
          <w:sz w:val="24"/>
          <w:szCs w:val="24"/>
          <w:lang w:eastAsia="it-IT"/>
        </w:rPr>
      </w:pPr>
      <w:r w:rsidRPr="0092529E">
        <w:rPr>
          <w:rFonts w:ascii="Times New Roman" w:eastAsia="Times New Roman" w:hAnsi="Times New Roman" w:cs="Times New Roman"/>
          <w:iCs/>
          <w:color w:val="000000"/>
          <w:sz w:val="24"/>
          <w:szCs w:val="24"/>
          <w:lang w:eastAsia="it-IT"/>
        </w:rPr>
        <w:t xml:space="preserve">5.8.− Negli stessi termini, la dichiarazione </w:t>
      </w:r>
      <w:proofErr w:type="gramStart"/>
      <w:r w:rsidRPr="0092529E">
        <w:rPr>
          <w:rFonts w:ascii="Times New Roman" w:eastAsia="Times New Roman" w:hAnsi="Times New Roman" w:cs="Times New Roman"/>
          <w:iCs/>
          <w:color w:val="000000"/>
          <w:sz w:val="24"/>
          <w:szCs w:val="24"/>
          <w:lang w:eastAsia="it-IT"/>
        </w:rPr>
        <w:t xml:space="preserve">di </w:t>
      </w:r>
      <w:proofErr w:type="gramEnd"/>
      <w:r w:rsidRPr="0092529E">
        <w:rPr>
          <w:rFonts w:ascii="Times New Roman" w:eastAsia="Times New Roman" w:hAnsi="Times New Roman" w:cs="Times New Roman"/>
          <w:iCs/>
          <w:color w:val="000000"/>
          <w:sz w:val="24"/>
          <w:szCs w:val="24"/>
          <w:lang w:eastAsia="it-IT"/>
        </w:rPr>
        <w:t xml:space="preserve">illegittimità costituzionale, ai sensi dell’art. 27 della legge n. 87 del 1953, n. 87, va estesa all’art. 31, comma </w:t>
      </w:r>
      <w:proofErr w:type="gramStart"/>
      <w:r w:rsidRPr="0092529E">
        <w:rPr>
          <w:rFonts w:ascii="Times New Roman" w:eastAsia="Times New Roman" w:hAnsi="Times New Roman" w:cs="Times New Roman"/>
          <w:iCs/>
          <w:color w:val="000000"/>
          <w:sz w:val="24"/>
          <w:szCs w:val="24"/>
          <w:lang w:eastAsia="it-IT"/>
        </w:rPr>
        <w:t>6</w:t>
      </w:r>
      <w:proofErr w:type="gramEnd"/>
      <w:r w:rsidRPr="0092529E">
        <w:rPr>
          <w:rFonts w:ascii="Times New Roman" w:eastAsia="Times New Roman" w:hAnsi="Times New Roman" w:cs="Times New Roman"/>
          <w:iCs/>
          <w:color w:val="000000"/>
          <w:sz w:val="24"/>
          <w:szCs w:val="24"/>
          <w:lang w:eastAsia="it-IT"/>
        </w:rPr>
        <w:t xml:space="preserve">, del d.lgs. n. 150 del 2011, </w:t>
      </w:r>
      <w:r w:rsidRPr="0092529E">
        <w:rPr>
          <w:rFonts w:ascii="Times New Roman" w:eastAsia="Times New Roman" w:hAnsi="Times New Roman" w:cs="Times New Roman"/>
          <w:bCs/>
          <w:iCs/>
          <w:color w:val="000000"/>
          <w:sz w:val="24"/>
          <w:szCs w:val="24"/>
          <w:lang w:eastAsia="it-IT"/>
        </w:rPr>
        <w:t xml:space="preserve"> </w:t>
      </w:r>
      <w:r w:rsidRPr="0092529E">
        <w:rPr>
          <w:rFonts w:ascii="Times New Roman" w:eastAsia="Times New Roman" w:hAnsi="Times New Roman" w:cs="Times New Roman"/>
          <w:iCs/>
          <w:color w:val="000000"/>
          <w:sz w:val="24"/>
          <w:szCs w:val="24"/>
          <w:lang w:eastAsia="it-IT"/>
        </w:rPr>
        <w:t>che ha sostituito l’art. 4 della legge n. 164 del 1982, abrogato dall’art. 36 del medesimo d.lgs., ma che ne ripete, con minima ininfluente variante lessicale, identicamente il contenuto.</w:t>
      </w:r>
    </w:p>
    <w:p w:rsidR="0092529E" w:rsidRPr="0092529E" w:rsidRDefault="0092529E" w:rsidP="0092529E">
      <w:pPr>
        <w:spacing w:before="100" w:beforeAutospacing="1" w:after="100" w:afterAutospacing="1" w:line="360" w:lineRule="auto"/>
        <w:ind w:right="-1" w:firstLine="0"/>
        <w:jc w:val="center"/>
        <w:rPr>
          <w:rFonts w:ascii="Times New Roman" w:eastAsia="Times New Roman" w:hAnsi="Times New Roman" w:cs="Times New Roman"/>
          <w:smallCaps/>
          <w:sz w:val="20"/>
          <w:szCs w:val="20"/>
          <w:lang w:eastAsia="it-IT"/>
        </w:rPr>
      </w:pPr>
      <w:r w:rsidRPr="0092529E">
        <w:rPr>
          <w:rFonts w:ascii="Times New Roman" w:eastAsia="Times New Roman" w:hAnsi="Times New Roman" w:cs="Times New Roman"/>
          <w:smallCaps/>
          <w:sz w:val="20"/>
          <w:szCs w:val="20"/>
          <w:lang w:eastAsia="it-IT"/>
        </w:rPr>
        <w:t>PER QUESTI MOTIVI</w:t>
      </w:r>
    </w:p>
    <w:p w:rsidR="0092529E" w:rsidRPr="0092529E" w:rsidRDefault="0092529E" w:rsidP="0092529E">
      <w:pPr>
        <w:spacing w:before="100" w:beforeAutospacing="1" w:after="100" w:afterAutospacing="1" w:line="360" w:lineRule="auto"/>
        <w:ind w:right="-1" w:firstLine="0"/>
        <w:jc w:val="center"/>
        <w:rPr>
          <w:rFonts w:ascii="Times New Roman" w:eastAsia="Times New Roman" w:hAnsi="Times New Roman" w:cs="Times New Roman"/>
          <w:smallCaps/>
          <w:sz w:val="24"/>
          <w:szCs w:val="24"/>
          <w:lang w:eastAsia="it-IT"/>
        </w:rPr>
      </w:pPr>
      <w:r w:rsidRPr="0092529E">
        <w:rPr>
          <w:rFonts w:ascii="Times New Roman" w:eastAsia="Times New Roman" w:hAnsi="Times New Roman" w:cs="Times New Roman"/>
          <w:smallCaps/>
          <w:sz w:val="24"/>
          <w:szCs w:val="24"/>
          <w:lang w:eastAsia="it-IT"/>
        </w:rPr>
        <w:t>LA CORTE COSTITUZIONALE</w:t>
      </w:r>
    </w:p>
    <w:p w:rsidR="0092529E" w:rsidRPr="0092529E" w:rsidRDefault="0092529E" w:rsidP="0092529E">
      <w:pPr>
        <w:widowControl w:val="0"/>
        <w:adjustRightInd w:val="0"/>
        <w:spacing w:before="100" w:beforeAutospacing="1" w:after="100" w:afterAutospacing="1" w:line="360" w:lineRule="auto"/>
        <w:rPr>
          <w:rFonts w:ascii="Times New Roman" w:eastAsia="Times New Roman" w:hAnsi="Times New Roman" w:cs="Times New Roman"/>
          <w:iCs/>
          <w:color w:val="000000"/>
          <w:sz w:val="24"/>
          <w:szCs w:val="24"/>
          <w:lang w:eastAsia="it-IT"/>
        </w:rPr>
      </w:pPr>
      <w:r w:rsidRPr="0092529E">
        <w:rPr>
          <w:rFonts w:ascii="Times New Roman" w:eastAsia="Times New Roman" w:hAnsi="Times New Roman" w:cs="Times New Roman"/>
          <w:sz w:val="24"/>
          <w:szCs w:val="24"/>
          <w:lang w:eastAsia="it-IT"/>
        </w:rPr>
        <w:t xml:space="preserve">1) </w:t>
      </w:r>
      <w:r w:rsidRPr="0092529E">
        <w:rPr>
          <w:rFonts w:ascii="Times New Roman" w:eastAsia="Times New Roman" w:hAnsi="Times New Roman" w:cs="Times New Roman"/>
          <w:i/>
          <w:sz w:val="24"/>
          <w:szCs w:val="24"/>
          <w:lang w:eastAsia="it-IT"/>
        </w:rPr>
        <w:t>dichiara</w:t>
      </w:r>
      <w:r w:rsidRPr="0092529E">
        <w:rPr>
          <w:rFonts w:ascii="Times New Roman" w:eastAsia="Times New Roman" w:hAnsi="Times New Roman" w:cs="Times New Roman"/>
          <w:sz w:val="24"/>
          <w:szCs w:val="24"/>
          <w:lang w:eastAsia="it-IT"/>
        </w:rPr>
        <w:t xml:space="preserve"> l’illegittimità costituzionale degli artt. 2 e </w:t>
      </w:r>
      <w:proofErr w:type="gramStart"/>
      <w:r w:rsidRPr="0092529E">
        <w:rPr>
          <w:rFonts w:ascii="Times New Roman" w:eastAsia="Times New Roman" w:hAnsi="Times New Roman" w:cs="Times New Roman"/>
          <w:sz w:val="24"/>
          <w:szCs w:val="24"/>
          <w:lang w:eastAsia="it-IT"/>
        </w:rPr>
        <w:t>4</w:t>
      </w:r>
      <w:proofErr w:type="gramEnd"/>
      <w:r w:rsidRPr="0092529E">
        <w:rPr>
          <w:rFonts w:ascii="Times New Roman" w:eastAsia="Times New Roman" w:hAnsi="Times New Roman" w:cs="Times New Roman"/>
          <w:sz w:val="24"/>
          <w:szCs w:val="24"/>
          <w:lang w:eastAsia="it-IT"/>
        </w:rPr>
        <w:t xml:space="preserve"> della legge 14 aprile 1982, n. 164 (Norme in materia di rettificazione di attribuzione di sesso), nella parte in cui non prevedono che la sentenza di rettificazione dell’attribuzione di sesso di uno dei coniugi, che provoca lo scioglimento del matrimonio o la cessazione degli effetti civili conseguenti alla trascrizione del matrimonio, consenta, comunque, ove entrambi lo richiedano, di mantenere in vita un rapporto di coppia giuridicamente regolato con altra forma di convivenza registrata, </w:t>
      </w:r>
      <w:r w:rsidRPr="0092529E">
        <w:rPr>
          <w:rFonts w:ascii="Times New Roman" w:eastAsia="Times New Roman" w:hAnsi="Times New Roman" w:cs="Times New Roman"/>
          <w:iCs/>
          <w:color w:val="000000"/>
          <w:sz w:val="24"/>
          <w:szCs w:val="24"/>
          <w:lang w:eastAsia="it-IT"/>
        </w:rPr>
        <w:t>che tuteli adeguatamente i diritti ed obblighi della coppia medesima, con le modalità da statuirsi dal legislatore;</w:t>
      </w:r>
    </w:p>
    <w:p w:rsidR="0092529E" w:rsidRPr="0092529E" w:rsidRDefault="0092529E" w:rsidP="0092529E">
      <w:pPr>
        <w:widowControl w:val="0"/>
        <w:adjustRightInd w:val="0"/>
        <w:spacing w:before="100" w:beforeAutospacing="1" w:after="100" w:afterAutospacing="1" w:line="360" w:lineRule="auto"/>
        <w:rPr>
          <w:rFonts w:ascii="Times New Roman" w:eastAsia="Times New Roman" w:hAnsi="Times New Roman" w:cs="Times New Roman"/>
          <w:sz w:val="24"/>
          <w:szCs w:val="24"/>
          <w:lang w:eastAsia="it-IT"/>
        </w:rPr>
      </w:pPr>
      <w:r w:rsidRPr="0092529E">
        <w:rPr>
          <w:rFonts w:ascii="Times New Roman" w:eastAsia="Times New Roman" w:hAnsi="Times New Roman" w:cs="Times New Roman"/>
          <w:sz w:val="24"/>
          <w:szCs w:val="24"/>
          <w:lang w:eastAsia="it-IT"/>
        </w:rPr>
        <w:t>2)</w:t>
      </w:r>
      <w:r w:rsidRPr="0092529E">
        <w:rPr>
          <w:rFonts w:ascii="Times New Roman" w:eastAsia="Times New Roman" w:hAnsi="Times New Roman" w:cs="Times New Roman"/>
          <w:i/>
          <w:sz w:val="24"/>
          <w:szCs w:val="24"/>
          <w:lang w:eastAsia="it-IT"/>
        </w:rPr>
        <w:t xml:space="preserve"> dichiara</w:t>
      </w:r>
      <w:r w:rsidRPr="0092529E">
        <w:rPr>
          <w:rFonts w:ascii="Times New Roman" w:eastAsia="Times New Roman" w:hAnsi="Times New Roman" w:cs="Times New Roman"/>
          <w:sz w:val="24"/>
          <w:szCs w:val="24"/>
          <w:lang w:eastAsia="it-IT"/>
        </w:rPr>
        <w:t xml:space="preserve">, in via consequenziale, l’illegittimità costituzionale dell’art. 31, comma </w:t>
      </w:r>
      <w:proofErr w:type="gramStart"/>
      <w:r w:rsidRPr="0092529E">
        <w:rPr>
          <w:rFonts w:ascii="Times New Roman" w:eastAsia="Times New Roman" w:hAnsi="Times New Roman" w:cs="Times New Roman"/>
          <w:sz w:val="24"/>
          <w:szCs w:val="24"/>
          <w:lang w:eastAsia="it-IT"/>
        </w:rPr>
        <w:t>6</w:t>
      </w:r>
      <w:proofErr w:type="gramEnd"/>
      <w:r w:rsidRPr="0092529E">
        <w:rPr>
          <w:rFonts w:ascii="Times New Roman" w:eastAsia="Times New Roman" w:hAnsi="Times New Roman" w:cs="Times New Roman"/>
          <w:sz w:val="24"/>
          <w:szCs w:val="24"/>
          <w:lang w:eastAsia="it-IT"/>
        </w:rPr>
        <w:t xml:space="preserve">, del decreto legislativo 1° settembre 2011, n. 150 (Disposizioni complementari al codice di procedura civile in materia di riduzione e semplificazione dei procedimenti civili di cognizione, ai sensi dell’articolo 54 della legge 18 giugno 2009, n. 69), nella parte in cui non prevede che la sentenza di rettificazione dell’attribuzione di sesso di uno dei coniugi, che determina lo scioglimento del matrimonio o la cessazione degli effetti civili conseguenti alla trascrizione del matrimonio celebrato con rito religioso, consenta, comunque, ove entrambi lo richiedano, di mantenere in vita un rapporto di coppia giuridicamente regolato con altra forma di convivenza registrata, </w:t>
      </w:r>
      <w:r w:rsidRPr="0092529E">
        <w:rPr>
          <w:rFonts w:ascii="Times New Roman" w:eastAsia="Times New Roman" w:hAnsi="Times New Roman" w:cs="Times New Roman"/>
          <w:iCs/>
          <w:color w:val="000000"/>
          <w:sz w:val="24"/>
          <w:szCs w:val="24"/>
          <w:lang w:eastAsia="it-IT"/>
        </w:rPr>
        <w:t>che tuteli i diritti ed obblighi della coppia medesima, con le modalità da statuirsi dal legislatore.</w:t>
      </w:r>
    </w:p>
    <w:p w:rsidR="0092529E" w:rsidRPr="0092529E" w:rsidRDefault="0092529E" w:rsidP="0092529E">
      <w:pPr>
        <w:widowControl w:val="0"/>
        <w:adjustRightInd w:val="0"/>
        <w:spacing w:before="100" w:beforeAutospacing="1" w:after="100" w:afterAutospacing="1" w:line="360" w:lineRule="auto"/>
        <w:rPr>
          <w:rFonts w:ascii="Times New Roman" w:eastAsia="Times New Roman" w:hAnsi="Times New Roman" w:cs="Times New Roman"/>
          <w:b/>
          <w:bCs/>
          <w:i/>
          <w:iCs/>
          <w:color w:val="000000"/>
          <w:sz w:val="24"/>
          <w:szCs w:val="24"/>
          <w:lang w:eastAsia="it-IT"/>
        </w:rPr>
      </w:pPr>
      <w:proofErr w:type="gramStart"/>
      <w:r w:rsidRPr="0092529E">
        <w:rPr>
          <w:rFonts w:ascii="Times New Roman" w:eastAsia="Times New Roman" w:hAnsi="Times New Roman" w:cs="Times New Roman"/>
          <w:sz w:val="24"/>
          <w:szCs w:val="24"/>
          <w:lang w:eastAsia="it-IT"/>
        </w:rPr>
        <w:t xml:space="preserve">Così deciso in Roma, nella sede della Corte costituzionale, Palazzo della Consulta, </w:t>
      </w:r>
      <w:r w:rsidRPr="0092529E">
        <w:rPr>
          <w:rFonts w:ascii="Times New Roman" w:eastAsia="Times New Roman" w:hAnsi="Times New Roman" w:cs="Times New Roman"/>
          <w:color w:val="000000"/>
          <w:sz w:val="24"/>
          <w:szCs w:val="24"/>
          <w:lang w:eastAsia="it-IT"/>
        </w:rPr>
        <w:t>l’11 giugno 2014.</w:t>
      </w:r>
      <w:proofErr w:type="gramEnd"/>
    </w:p>
    <w:p w:rsidR="0092529E" w:rsidRPr="0092529E" w:rsidRDefault="0092529E" w:rsidP="0092529E">
      <w:pPr>
        <w:widowControl w:val="0"/>
        <w:adjustRightInd w:val="0"/>
        <w:spacing w:before="100" w:beforeAutospacing="1" w:after="100" w:afterAutospacing="1" w:line="360" w:lineRule="auto"/>
        <w:ind w:firstLine="0"/>
        <w:rPr>
          <w:rFonts w:ascii="Times New Roman" w:eastAsia="Times New Roman" w:hAnsi="Times New Roman" w:cs="Times New Roman"/>
          <w:b/>
          <w:bCs/>
          <w:i/>
          <w:iCs/>
          <w:color w:val="000000"/>
          <w:sz w:val="24"/>
          <w:szCs w:val="24"/>
          <w:lang w:eastAsia="it-IT"/>
        </w:rPr>
      </w:pPr>
      <w:r w:rsidRPr="0092529E">
        <w:rPr>
          <w:rFonts w:ascii="Times New Roman" w:eastAsia="Times New Roman" w:hAnsi="Times New Roman" w:cs="Times New Roman"/>
          <w:color w:val="000000"/>
          <w:sz w:val="24"/>
          <w:szCs w:val="24"/>
          <w:lang w:eastAsia="it-IT"/>
        </w:rPr>
        <w:t>F.to:</w:t>
      </w:r>
      <w:bookmarkStart w:id="0" w:name="_GoBack"/>
      <w:bookmarkEnd w:id="0"/>
    </w:p>
    <w:p w:rsidR="0092529E" w:rsidRPr="0092529E" w:rsidRDefault="0092529E" w:rsidP="0092529E">
      <w:pPr>
        <w:widowControl w:val="0"/>
        <w:adjustRightInd w:val="0"/>
        <w:spacing w:before="100" w:beforeAutospacing="1" w:after="100" w:afterAutospacing="1" w:line="360" w:lineRule="auto"/>
        <w:ind w:firstLine="0"/>
        <w:rPr>
          <w:rFonts w:ascii="Times New Roman" w:eastAsia="Times New Roman" w:hAnsi="Times New Roman" w:cs="Times New Roman"/>
          <w:b/>
          <w:bCs/>
          <w:i/>
          <w:iCs/>
          <w:color w:val="000000"/>
          <w:sz w:val="24"/>
          <w:szCs w:val="24"/>
          <w:lang w:eastAsia="it-IT"/>
        </w:rPr>
      </w:pPr>
      <w:r w:rsidRPr="0092529E">
        <w:rPr>
          <w:rFonts w:ascii="Times New Roman" w:eastAsia="Times New Roman" w:hAnsi="Times New Roman" w:cs="Times New Roman"/>
          <w:color w:val="000000"/>
          <w:sz w:val="24"/>
          <w:szCs w:val="24"/>
          <w:lang w:eastAsia="it-IT"/>
        </w:rPr>
        <w:t>Sabino CASSESE, Presidente</w:t>
      </w:r>
    </w:p>
    <w:p w:rsidR="0092529E" w:rsidRPr="0092529E" w:rsidRDefault="0092529E" w:rsidP="0092529E">
      <w:pPr>
        <w:widowControl w:val="0"/>
        <w:adjustRightInd w:val="0"/>
        <w:spacing w:before="100" w:beforeAutospacing="1" w:after="100" w:afterAutospacing="1" w:line="360" w:lineRule="auto"/>
        <w:ind w:firstLine="0"/>
        <w:rPr>
          <w:rFonts w:ascii="Times New Roman" w:eastAsia="Times New Roman" w:hAnsi="Times New Roman" w:cs="Times New Roman"/>
          <w:b/>
          <w:bCs/>
          <w:i/>
          <w:iCs/>
          <w:color w:val="000000"/>
          <w:sz w:val="24"/>
          <w:szCs w:val="24"/>
          <w:lang w:eastAsia="it-IT"/>
        </w:rPr>
      </w:pPr>
      <w:r w:rsidRPr="0092529E">
        <w:rPr>
          <w:rFonts w:ascii="Times New Roman" w:eastAsia="Times New Roman" w:hAnsi="Times New Roman" w:cs="Times New Roman"/>
          <w:color w:val="000000"/>
          <w:sz w:val="24"/>
          <w:szCs w:val="24"/>
          <w:lang w:eastAsia="it-IT"/>
        </w:rPr>
        <w:lastRenderedPageBreak/>
        <w:t>Mario Rosario MORELLI, Redattore</w:t>
      </w:r>
    </w:p>
    <w:p w:rsidR="0092529E" w:rsidRPr="0092529E" w:rsidRDefault="0092529E" w:rsidP="0092529E">
      <w:pPr>
        <w:widowControl w:val="0"/>
        <w:adjustRightInd w:val="0"/>
        <w:spacing w:before="100" w:beforeAutospacing="1" w:after="100" w:afterAutospacing="1" w:line="360" w:lineRule="auto"/>
        <w:ind w:firstLine="0"/>
        <w:rPr>
          <w:rFonts w:ascii="Times New Roman" w:eastAsia="Times New Roman" w:hAnsi="Times New Roman" w:cs="Times New Roman"/>
          <w:b/>
          <w:bCs/>
          <w:i/>
          <w:iCs/>
          <w:color w:val="000000"/>
          <w:sz w:val="24"/>
          <w:szCs w:val="24"/>
          <w:lang w:eastAsia="it-IT"/>
        </w:rPr>
      </w:pPr>
      <w:r w:rsidRPr="0092529E">
        <w:rPr>
          <w:rFonts w:ascii="Times New Roman" w:eastAsia="Times New Roman" w:hAnsi="Times New Roman" w:cs="Times New Roman"/>
          <w:color w:val="000000"/>
          <w:sz w:val="24"/>
          <w:szCs w:val="24"/>
          <w:lang w:eastAsia="it-IT"/>
        </w:rPr>
        <w:t>Gabriella MELATTI, Cancelliere</w:t>
      </w:r>
    </w:p>
    <w:p w:rsidR="0092529E" w:rsidRPr="0092529E" w:rsidRDefault="0092529E" w:rsidP="0092529E">
      <w:pPr>
        <w:widowControl w:val="0"/>
        <w:adjustRightInd w:val="0"/>
        <w:spacing w:before="100" w:beforeAutospacing="1" w:after="100" w:afterAutospacing="1" w:line="360" w:lineRule="auto"/>
        <w:ind w:firstLine="0"/>
        <w:rPr>
          <w:rFonts w:ascii="Times New Roman" w:eastAsia="Times New Roman" w:hAnsi="Times New Roman" w:cs="Times New Roman"/>
          <w:b/>
          <w:bCs/>
          <w:i/>
          <w:iCs/>
          <w:color w:val="000000"/>
          <w:sz w:val="24"/>
          <w:szCs w:val="24"/>
          <w:lang w:eastAsia="it-IT"/>
        </w:rPr>
      </w:pPr>
      <w:r w:rsidRPr="0092529E">
        <w:rPr>
          <w:rFonts w:ascii="Times New Roman" w:eastAsia="Times New Roman" w:hAnsi="Times New Roman" w:cs="Times New Roman"/>
          <w:color w:val="000000"/>
          <w:sz w:val="24"/>
          <w:szCs w:val="24"/>
          <w:lang w:eastAsia="it-IT"/>
        </w:rPr>
        <w:t>Depositata in Cancelleria l’11 giugno 2014.</w:t>
      </w:r>
    </w:p>
    <w:p w:rsidR="00480F96" w:rsidRDefault="00480F96"/>
    <w:sectPr w:rsidR="00480F9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9"/>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29E"/>
    <w:rsid w:val="00480F96"/>
    <w:rsid w:val="0092529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line="276"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92529E"/>
    <w:rPr>
      <w:color w:val="0000FF"/>
      <w:u w:val="single"/>
    </w:rPr>
  </w:style>
  <w:style w:type="character" w:customStyle="1" w:styleId="spelle">
    <w:name w:val="spelle"/>
    <w:basedOn w:val="Carpredefinitoparagrafo"/>
    <w:rsid w:val="0092529E"/>
  </w:style>
  <w:style w:type="character" w:customStyle="1" w:styleId="grame">
    <w:name w:val="grame"/>
    <w:basedOn w:val="Carpredefinitoparagrafo"/>
    <w:rsid w:val="0092529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line="276"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92529E"/>
    <w:rPr>
      <w:color w:val="0000FF"/>
      <w:u w:val="single"/>
    </w:rPr>
  </w:style>
  <w:style w:type="character" w:customStyle="1" w:styleId="spelle">
    <w:name w:val="spelle"/>
    <w:basedOn w:val="Carpredefinitoparagrafo"/>
    <w:rsid w:val="0092529E"/>
  </w:style>
  <w:style w:type="character" w:customStyle="1" w:styleId="grame">
    <w:name w:val="grame"/>
    <w:basedOn w:val="Carpredefinitoparagrafo"/>
    <w:rsid w:val="009252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2846532">
      <w:bodyDiv w:val="1"/>
      <w:marLeft w:val="0"/>
      <w:marRight w:val="0"/>
      <w:marTop w:val="0"/>
      <w:marBottom w:val="0"/>
      <w:divBdr>
        <w:top w:val="none" w:sz="0" w:space="0" w:color="auto"/>
        <w:left w:val="none" w:sz="0" w:space="0" w:color="auto"/>
        <w:bottom w:val="none" w:sz="0" w:space="0" w:color="auto"/>
        <w:right w:val="none" w:sz="0" w:space="0" w:color="auto"/>
      </w:divBdr>
      <w:divsChild>
        <w:div w:id="20070513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iurcost.org/decisioni/2010/0138s-10.html" TargetMode="External"/><Relationship Id="rId3" Type="http://schemas.openxmlformats.org/officeDocument/2006/relationships/settings" Target="settings.xml"/><Relationship Id="rId7" Type="http://schemas.openxmlformats.org/officeDocument/2006/relationships/hyperlink" Target="http://hudoc.echr.coe.int/sites/eng/pages/search.aspx?i=001-99643"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giurcost.org/decisioni/2010/0138s-10.html" TargetMode="External"/><Relationship Id="rId11" Type="http://schemas.openxmlformats.org/officeDocument/2006/relationships/theme" Target="theme/theme1.xml"/><Relationship Id="rId5" Type="http://schemas.openxmlformats.org/officeDocument/2006/relationships/hyperlink" Target="http://www.giurcost.org/decisioni/2010/0138s-10.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giurcost.org/decisioni/2010/0138s-10.html"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2419</Words>
  <Characters>13789</Characters>
  <Application>Microsoft Office Word</Application>
  <DocSecurity>0</DocSecurity>
  <Lines>114</Lines>
  <Paragraphs>32</Paragraphs>
  <ScaleCrop>false</ScaleCrop>
  <Company>user</Company>
  <LinksUpToDate>false</LinksUpToDate>
  <CharactersWithSpaces>16176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Veronesi</dc:creator>
  <cp:lastModifiedBy>Veronesi</cp:lastModifiedBy>
  <cp:revision>1</cp:revision>
  <dcterms:created xsi:type="dcterms:W3CDTF">2016-01-15T08:53:00Z</dcterms:created>
  <dcterms:modified xsi:type="dcterms:W3CDTF">2016-01-15T08:55:00Z</dcterms:modified>
</cp:coreProperties>
</file>